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2C002B4"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00875A7F">
        <w:t>Rise Park Primary &amp; Nursery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C0A9C26" w:rsidR="002940F3" w:rsidRDefault="00770F4A" w:rsidP="00C31636">
            <w:pPr>
              <w:pStyle w:val="TableRow"/>
              <w:ind w:left="0" w:right="0"/>
            </w:pPr>
            <w:r>
              <w:t>442</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9FC00E4" w:rsidR="002940F3" w:rsidRDefault="00770F4A" w:rsidP="00C31636">
            <w:pPr>
              <w:pStyle w:val="TableRow"/>
              <w:ind w:left="0" w:right="0"/>
            </w:pPr>
            <w:r>
              <w:t>30%</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C202F0D" w:rsidR="002940F3" w:rsidRDefault="00875A7F"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FE93446" w:rsidR="002940F3" w:rsidRDefault="00875A7F"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A08D3E7" w:rsidR="002940F3" w:rsidRDefault="00875A7F" w:rsidP="00C31636">
            <w:pPr>
              <w:pStyle w:val="TableRow"/>
              <w:ind w:left="0" w:right="0"/>
            </w:pPr>
            <w:r>
              <w:t>November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413DC78" w:rsidR="002940F3" w:rsidRDefault="00875A7F" w:rsidP="00C31636">
            <w:pPr>
              <w:pStyle w:val="TableRow"/>
              <w:ind w:left="0" w:right="0"/>
            </w:pPr>
            <w:r>
              <w:t>Natasha Kelly</w:t>
            </w:r>
            <w:r w:rsidR="00DE360F">
              <w:t>, Headteacher</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35F1B31" w:rsidR="002940F3" w:rsidRDefault="00875A7F" w:rsidP="00C31636">
            <w:pPr>
              <w:pStyle w:val="TableRow"/>
              <w:ind w:left="0" w:right="0"/>
            </w:pPr>
            <w:r>
              <w:t>Lisa Griffiths</w:t>
            </w:r>
            <w:r w:rsidR="00DE360F">
              <w:t>, Deputy headteacher</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lastRenderedPageBreak/>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C901607" w:rsidR="002940F3" w:rsidRDefault="00875A7F" w:rsidP="00C31636">
            <w:pPr>
              <w:pStyle w:val="TableRow"/>
              <w:ind w:left="0" w:right="0"/>
            </w:pPr>
            <w:r>
              <w:t>Jeanette Kirby</w:t>
            </w:r>
            <w:r w:rsidR="00DE360F">
              <w:t>, lead for disadvantaged pupils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DA03FC4" w:rsidR="00E66558" w:rsidRDefault="009D71E8" w:rsidP="00C31636">
            <w:pPr>
              <w:pStyle w:val="TableRow"/>
              <w:ind w:left="0" w:right="0"/>
            </w:pPr>
            <w:r>
              <w:t>£</w:t>
            </w:r>
            <w:r w:rsidR="000447A2">
              <w:t>20</w:t>
            </w:r>
            <w:r w:rsidR="00A14300">
              <w:t>0964</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3D2C6B1" w:rsidR="00E66558" w:rsidRDefault="009D71E8" w:rsidP="00C31636">
            <w:pPr>
              <w:pStyle w:val="TableRow"/>
              <w:ind w:left="0" w:right="0"/>
            </w:pPr>
            <w:r>
              <w:t>£</w:t>
            </w:r>
            <w:r w:rsidR="00B35E53">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CD2BCE0" w:rsidR="00E66558" w:rsidRDefault="009D71E8" w:rsidP="00C31636">
            <w:pPr>
              <w:pStyle w:val="TableRow"/>
              <w:ind w:left="0" w:right="0"/>
            </w:pPr>
            <w:r>
              <w:t>£</w:t>
            </w:r>
            <w:r w:rsidR="009E4FC2">
              <w:t>200964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3BA8" w14:textId="7D8579D4" w:rsidR="00571B23" w:rsidRPr="00C30CFC" w:rsidRDefault="00C30CFC" w:rsidP="00571B23">
            <w:pPr>
              <w:spacing w:after="60"/>
              <w:rPr>
                <w:b/>
                <w:bCs/>
                <w:u w:val="single"/>
              </w:rPr>
            </w:pPr>
            <w:r w:rsidRPr="00C30CFC">
              <w:rPr>
                <w:b/>
                <w:bCs/>
                <w:u w:val="single"/>
              </w:rPr>
              <w:t>Pupil Premium at Rise Park</w:t>
            </w:r>
          </w:p>
          <w:p w14:paraId="14638AD2" w14:textId="5AFC2DF7" w:rsidR="00571B23" w:rsidRDefault="00571B23" w:rsidP="00C30CFC">
            <w:pPr>
              <w:spacing w:after="60"/>
            </w:pPr>
          </w:p>
          <w:p w14:paraId="177C4E1A" w14:textId="7AA0D79E" w:rsidR="00C30CFC" w:rsidRDefault="00C30CFC" w:rsidP="00C30CFC">
            <w:pPr>
              <w:spacing w:after="60"/>
            </w:pPr>
            <w:r>
              <w:t xml:space="preserve">At Rise Park Primary School, we are dedicated to motivating and inspiring all pupils to achieve their full potential, irrespective of the challenges they face, to become resilient, respectful and achieve highly across all subject areas. The focus of the pupil premium strategy is to support </w:t>
            </w:r>
            <w:r w:rsidR="00BE470A">
              <w:t xml:space="preserve">disadvantaged pupils to achieve that goal, including progress for those who are already high attainers. </w:t>
            </w:r>
          </w:p>
          <w:p w14:paraId="077CC9A7" w14:textId="5950CBE1" w:rsidR="009504A6" w:rsidRDefault="009504A6" w:rsidP="00C30CFC">
            <w:pPr>
              <w:spacing w:after="60"/>
            </w:pPr>
          </w:p>
          <w:p w14:paraId="0BAA6A22" w14:textId="501D5276" w:rsidR="009504A6" w:rsidRDefault="009504A6" w:rsidP="00C30CFC">
            <w:pPr>
              <w:spacing w:after="60"/>
            </w:pPr>
            <w:r>
              <w:t>We strive to ensure that the children achieve to the best of their ability and any gaps in their learning due to external factors are recognised and closed. All staff responsible for teaching and learning understand the importance of this support and Pupil Premium provision maps in each year group outline the support that is in place for children in receipt of Pupil Premium. This includes: high-quality teaching; specific interventions</w:t>
            </w:r>
            <w:r w:rsidR="00935F38">
              <w:t xml:space="preserve">; </w:t>
            </w:r>
            <w:r w:rsidR="003F0CA0">
              <w:t xml:space="preserve">support from the nurture team; access to trips and residentials and </w:t>
            </w:r>
            <w:r w:rsidR="0061694D">
              <w:t>access to targeted interventions before school which includes breakfast.</w:t>
            </w:r>
          </w:p>
          <w:p w14:paraId="0FF157CE" w14:textId="38C232A2" w:rsidR="00DF7289" w:rsidRDefault="00DF7289" w:rsidP="00C30CFC">
            <w:pPr>
              <w:spacing w:after="60"/>
            </w:pPr>
          </w:p>
          <w:p w14:paraId="35F58EED" w14:textId="77777777" w:rsidR="00DF7289" w:rsidRDefault="00DF7289" w:rsidP="00DF7289">
            <w:r>
              <w:t xml:space="preserve">When creating our PP Strategy we recognise the importance of considering the context of the school and the subsequent challenges made. We will use research conducted by the EEF and recognised literature (such as ‘Addressing Educational Disadvantage by Marc Rowland) to support decisions made around the usefulness and implementation of different strategies. </w:t>
            </w:r>
          </w:p>
          <w:p w14:paraId="2878DC90" w14:textId="77777777" w:rsidR="00DF7289" w:rsidRDefault="00DF7289" w:rsidP="00DF7289">
            <w:r>
              <w:t>Common barriers to learning for disadvantaged students can include weak language and communication skills, lack of confidence, attendance and punctuation issues and limited parental engagement. There may be complex situations that prevent children from flourishing. We recognise that the challenges are varied and there is no ‘one size fits all’.</w:t>
            </w:r>
          </w:p>
          <w:p w14:paraId="3FB23836" w14:textId="77777777" w:rsidR="00DF7289" w:rsidRDefault="00DF7289" w:rsidP="00DF7289">
            <w:r>
              <w:t xml:space="preserve"> As recognised by the EFF we acknowledge that ‘good teaching is the most important lever schools have to improve outcomes for disadvantaged students’ and we intend to focus heavily on developing the quality of teaching through focused CPD of teachers and strong recruitment processes. </w:t>
            </w:r>
          </w:p>
          <w:p w14:paraId="3323366D" w14:textId="77777777" w:rsidR="00DF7289" w:rsidRDefault="00DF7289" w:rsidP="00DF7289">
            <w:pPr>
              <w:rPr>
                <w:rFonts w:cs="Arial"/>
              </w:rPr>
            </w:pPr>
            <w:r>
              <w:rPr>
                <w:rFonts w:cs="Arial"/>
              </w:rPr>
              <w:t>Our ultimate objectives are:</w:t>
            </w:r>
          </w:p>
          <w:p w14:paraId="68EBC006" w14:textId="77777777" w:rsidR="00DF7289" w:rsidRPr="00C30F6A" w:rsidRDefault="00DF7289" w:rsidP="00DF7289">
            <w:pPr>
              <w:pStyle w:val="ListParagraph"/>
              <w:numPr>
                <w:ilvl w:val="0"/>
                <w:numId w:val="13"/>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37328A82" w14:textId="77777777" w:rsidR="00DF7289" w:rsidRDefault="00DF7289" w:rsidP="00DF7289">
            <w:pPr>
              <w:pStyle w:val="ListParagraph"/>
              <w:numPr>
                <w:ilvl w:val="0"/>
                <w:numId w:val="13"/>
              </w:numPr>
              <w:rPr>
                <w:rFonts w:cs="Arial"/>
              </w:rPr>
            </w:pPr>
            <w:r w:rsidRPr="00C30F6A">
              <w:rPr>
                <w:rFonts w:cs="Arial"/>
              </w:rPr>
              <w:t>For all disadvantaged pupils in school to make or exceed nationally expected progress rates.</w:t>
            </w:r>
          </w:p>
          <w:p w14:paraId="28F87F62" w14:textId="77777777" w:rsidR="00DF7289" w:rsidRPr="00DF26FF" w:rsidRDefault="00DF7289" w:rsidP="00DF7289">
            <w:pPr>
              <w:pStyle w:val="ListParagraph"/>
              <w:numPr>
                <w:ilvl w:val="0"/>
                <w:numId w:val="13"/>
              </w:numPr>
              <w:rPr>
                <w:rFonts w:cs="Arial"/>
              </w:rPr>
            </w:pPr>
            <w:r>
              <w:rPr>
                <w:rFonts w:cs="Arial"/>
              </w:rPr>
              <w:lastRenderedPageBreak/>
              <w:t>To support our children’s health and wellbeing to enable them to access learning at an appropriate level.</w:t>
            </w:r>
          </w:p>
          <w:p w14:paraId="603BAA7E" w14:textId="77777777" w:rsidR="00DF7289" w:rsidRDefault="00DF7289" w:rsidP="00DF7289">
            <w:r>
              <w:t>We aim to do this through:</w:t>
            </w:r>
          </w:p>
          <w:p w14:paraId="6C088015" w14:textId="77777777" w:rsidR="00DF7289" w:rsidRDefault="00DF7289" w:rsidP="00DF7289">
            <w:r>
              <w:t xml:space="preserve"> </w:t>
            </w:r>
            <w:r>
              <w:rPr>
                <w:rFonts w:ascii="Symbol" w:eastAsia="Symbol" w:hAnsi="Symbol" w:cs="Symbol"/>
              </w:rPr>
              <w:t>·</w:t>
            </w:r>
            <w:r>
              <w:t xml:space="preserve"> Promoting an ethos of attainment for all – rather than stereotyping</w:t>
            </w:r>
          </w:p>
          <w:p w14:paraId="1D269D71" w14:textId="77777777" w:rsidR="00DF7289" w:rsidRDefault="00DF7289" w:rsidP="00DF7289">
            <w:r>
              <w:t xml:space="preserve"> </w:t>
            </w:r>
            <w:r>
              <w:rPr>
                <w:rFonts w:ascii="Symbol" w:eastAsia="Symbol" w:hAnsi="Symbol" w:cs="Symbol"/>
              </w:rPr>
              <w:t>·</w:t>
            </w:r>
            <w:r>
              <w:t xml:space="preserve"> An individualised approach to address barriers – rather than access to generic support and focusing on students nearing end of KS2</w:t>
            </w:r>
          </w:p>
          <w:p w14:paraId="6D72BC9C" w14:textId="77777777" w:rsidR="00DF7289" w:rsidRDefault="00DF7289" w:rsidP="00DF7289">
            <w:r>
              <w:t xml:space="preserve"> </w:t>
            </w:r>
            <w:r>
              <w:rPr>
                <w:rFonts w:ascii="Symbol" w:eastAsia="Symbol" w:hAnsi="Symbol" w:cs="Symbol"/>
              </w:rPr>
              <w:t>·</w:t>
            </w:r>
            <w:r>
              <w:t xml:space="preserve"> High quality teaching – rather than bolt-on strategies</w:t>
            </w:r>
          </w:p>
          <w:p w14:paraId="65BA8E3A" w14:textId="77777777" w:rsidR="00DF7289" w:rsidRDefault="00DF7289" w:rsidP="00DF7289">
            <w:r>
              <w:t xml:space="preserve"> </w:t>
            </w:r>
            <w:r>
              <w:rPr>
                <w:rFonts w:ascii="Symbol" w:eastAsia="Symbol" w:hAnsi="Symbol" w:cs="Symbol"/>
              </w:rPr>
              <w:t>·</w:t>
            </w:r>
            <w:r>
              <w:t xml:space="preserve"> Focusing on outcomes for individuals – rather than on just providing strategies</w:t>
            </w:r>
          </w:p>
          <w:p w14:paraId="40EF3417" w14:textId="77777777" w:rsidR="00DF7289" w:rsidRDefault="00DF7289" w:rsidP="00DF7289">
            <w:r>
              <w:t xml:space="preserve"> </w:t>
            </w:r>
            <w:r>
              <w:rPr>
                <w:rFonts w:ascii="Symbol" w:eastAsia="Symbol" w:hAnsi="Symbol" w:cs="Symbol"/>
              </w:rPr>
              <w:t>·</w:t>
            </w:r>
            <w:r>
              <w:t xml:space="preserve"> Decisions based on data and respond to evidence – frequently</w:t>
            </w:r>
          </w:p>
          <w:p w14:paraId="2A7D54E9" w14:textId="573E14DF" w:rsidR="00E66558" w:rsidRPr="00DF7289" w:rsidRDefault="00DF7289" w:rsidP="00DF7289">
            <w:r>
              <w:t xml:space="preserve"> </w:t>
            </w:r>
            <w:r>
              <w:rPr>
                <w:rFonts w:ascii="Symbol" w:eastAsia="Symbol" w:hAnsi="Symbol" w:cs="Symbol"/>
              </w:rPr>
              <w:t>·</w:t>
            </w:r>
            <w:r>
              <w:t xml:space="preserve"> Clear, responsive leadership – setting high aspirations and responsibility for raising attainment to all staff.</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0918" w14:textId="6FB6F991" w:rsidR="00CD78D4" w:rsidRDefault="00CD78D4" w:rsidP="00CD78D4">
            <w:pPr>
              <w:pStyle w:val="TableRowCentered"/>
              <w:ind w:left="0"/>
              <w:jc w:val="left"/>
              <w:rPr>
                <w:bCs/>
                <w:color w:val="auto"/>
                <w:sz w:val="22"/>
                <w:szCs w:val="22"/>
              </w:rPr>
            </w:pPr>
            <w:r>
              <w:rPr>
                <w:bCs/>
                <w:color w:val="auto"/>
                <w:sz w:val="22"/>
                <w:szCs w:val="22"/>
              </w:rPr>
              <w:t xml:space="preserve">Narrowing the attainment gap across Reading, </w:t>
            </w:r>
            <w:r w:rsidR="008A3508">
              <w:rPr>
                <w:bCs/>
                <w:color w:val="auto"/>
                <w:sz w:val="22"/>
                <w:szCs w:val="22"/>
              </w:rPr>
              <w:t xml:space="preserve">Phonics, </w:t>
            </w:r>
            <w:r>
              <w:rPr>
                <w:bCs/>
                <w:color w:val="auto"/>
                <w:sz w:val="22"/>
                <w:szCs w:val="22"/>
              </w:rPr>
              <w:t>Writing and Maths across the school. Disadvantaged pupils generally enter school below age related expectations. Internal assessments indicate that attainment amongst disadvantaged pupils is becoming significantly below that of non-disadvantaged pupils compared to the pre-pandemic data.</w:t>
            </w:r>
          </w:p>
          <w:p w14:paraId="59912EAE" w14:textId="0C08298B" w:rsidR="004471CC" w:rsidRDefault="004471CC" w:rsidP="00CD78D4">
            <w:pPr>
              <w:pStyle w:val="TableRowCentered"/>
              <w:ind w:left="0"/>
              <w:jc w:val="left"/>
              <w:rPr>
                <w:bCs/>
                <w:color w:val="auto"/>
                <w:sz w:val="22"/>
                <w:szCs w:val="22"/>
              </w:rPr>
            </w:pPr>
            <w:r>
              <w:rPr>
                <w:bCs/>
                <w:color w:val="auto"/>
                <w:sz w:val="22"/>
                <w:szCs w:val="22"/>
              </w:rPr>
              <w:t>The gap of pupils achieving the expected standard at the end of Key Stage 2 was approximately 10% pre-pandemic, in 2023-2024, the gap was:</w:t>
            </w:r>
          </w:p>
          <w:p w14:paraId="052FA87F" w14:textId="69E45CE1" w:rsidR="004471CC" w:rsidRDefault="004471CC" w:rsidP="00CD78D4">
            <w:pPr>
              <w:pStyle w:val="TableRowCentered"/>
              <w:ind w:left="0"/>
              <w:jc w:val="left"/>
              <w:rPr>
                <w:bCs/>
                <w:color w:val="auto"/>
                <w:sz w:val="22"/>
                <w:szCs w:val="22"/>
              </w:rPr>
            </w:pPr>
            <w:r>
              <w:rPr>
                <w:bCs/>
                <w:color w:val="auto"/>
                <w:sz w:val="22"/>
                <w:szCs w:val="22"/>
              </w:rPr>
              <w:t xml:space="preserve">40% in reading, 24% in writing and 31% in maths. </w:t>
            </w:r>
            <w:r w:rsidR="00D0771F">
              <w:rPr>
                <w:bCs/>
                <w:color w:val="auto"/>
                <w:sz w:val="22"/>
                <w:szCs w:val="22"/>
              </w:rPr>
              <w:t>Although our pupils are just below national averages in reading and maths and above national in writing, our non-disadvantaged pupils outperform nationally at all levels therefore the gap when comparing is larger.</w:t>
            </w:r>
          </w:p>
          <w:p w14:paraId="2A7D54F1" w14:textId="2EFAEBB3" w:rsidR="00E66558" w:rsidRDefault="00E66558" w:rsidP="00C31636">
            <w:pPr>
              <w:pStyle w:val="TableRowCentered"/>
              <w:ind w:left="0" w:right="0"/>
              <w:jc w:val="left"/>
            </w:pPr>
          </w:p>
        </w:tc>
      </w:tr>
      <w:tr w:rsidR="008A350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8A3508" w:rsidRDefault="008A3508" w:rsidP="008A3508">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4FBB8BF" w:rsidR="008A3508" w:rsidRDefault="008A3508" w:rsidP="008A3508">
            <w:pPr>
              <w:pStyle w:val="TableRowCentered"/>
              <w:tabs>
                <w:tab w:val="left" w:pos="1700"/>
              </w:tabs>
              <w:ind w:left="0" w:right="0"/>
              <w:jc w:val="left"/>
              <w:rPr>
                <w:sz w:val="22"/>
                <w:szCs w:val="22"/>
              </w:rPr>
            </w:pPr>
            <w:r w:rsidRPr="00CE3EDC">
              <w:rPr>
                <w:rStyle w:val="PlaceholderText"/>
                <w:color w:val="000000" w:themeColor="text1"/>
                <w:sz w:val="22"/>
                <w:szCs w:val="22"/>
              </w:rPr>
              <w:t>Our assessments (including a NFER assessment), observations and discussions with families show an increased number of pupils with complex needs, including speech and language, social communication, motor skills, social emotional and mental health.</w:t>
            </w:r>
          </w:p>
        </w:tc>
      </w:tr>
      <w:tr w:rsidR="008A350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8A3508" w:rsidRDefault="008A3508" w:rsidP="008A3508">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6E4CDD9" w:rsidR="008A3508" w:rsidRDefault="008A3508" w:rsidP="008A3508">
            <w:pPr>
              <w:pStyle w:val="TableRowCentered"/>
              <w:ind w:left="0" w:right="0"/>
              <w:jc w:val="left"/>
              <w:rPr>
                <w:sz w:val="22"/>
                <w:szCs w:val="22"/>
              </w:rPr>
            </w:pPr>
            <w:r w:rsidRPr="00E234D3">
              <w:rPr>
                <w:bCs/>
                <w:color w:val="auto"/>
                <w:sz w:val="22"/>
                <w:szCs w:val="22"/>
              </w:rPr>
              <w:t>The attendance of our pupil premium children as a group is lower than that of the whole school</w:t>
            </w:r>
            <w:r>
              <w:rPr>
                <w:bCs/>
                <w:color w:val="auto"/>
                <w:sz w:val="22"/>
                <w:szCs w:val="22"/>
              </w:rPr>
              <w:t xml:space="preserve"> and was 2% lower than non-disadvantaged pupils last years. There has been a decrease in disadvantaged pupils’ attendance when compared to data before the pandemic began. This is impacting their progress.</w:t>
            </w:r>
          </w:p>
        </w:tc>
      </w:tr>
      <w:tr w:rsidR="008A350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8A3508" w:rsidRDefault="008A3508" w:rsidP="008A3508">
            <w:pPr>
              <w:pStyle w:val="TableRow"/>
              <w:ind w:left="0" w:right="0"/>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3F411D" w:rsidR="008A3508" w:rsidRDefault="008A3508" w:rsidP="008A3508">
            <w:pPr>
              <w:pStyle w:val="TableRowCentered"/>
              <w:ind w:left="0" w:right="0"/>
              <w:jc w:val="left"/>
              <w:rPr>
                <w:iCs/>
                <w:sz w:val="22"/>
              </w:rPr>
            </w:pPr>
            <w:r w:rsidRPr="00E234D3">
              <w:rPr>
                <w:bCs/>
                <w:color w:val="auto"/>
                <w:sz w:val="22"/>
                <w:szCs w:val="22"/>
              </w:rPr>
              <w:t xml:space="preserve">Many of our pupil premium children do not have the rich and varied experiences as non-pupil premium children </w:t>
            </w:r>
            <w:r>
              <w:rPr>
                <w:bCs/>
                <w:color w:val="auto"/>
                <w:sz w:val="22"/>
                <w:szCs w:val="22"/>
              </w:rPr>
              <w:t>appear</w:t>
            </w:r>
            <w:r w:rsidRPr="00E234D3">
              <w:rPr>
                <w:bCs/>
                <w:color w:val="auto"/>
                <w:sz w:val="22"/>
                <w:szCs w:val="22"/>
              </w:rPr>
              <w:t xml:space="preserve"> to have </w:t>
            </w:r>
            <w:r>
              <w:rPr>
                <w:bCs/>
                <w:color w:val="auto"/>
                <w:sz w:val="22"/>
                <w:szCs w:val="22"/>
              </w:rPr>
              <w:t xml:space="preserve">a limited </w:t>
            </w:r>
            <w:r w:rsidRPr="00E234D3">
              <w:rPr>
                <w:bCs/>
                <w:color w:val="auto"/>
                <w:sz w:val="22"/>
                <w:szCs w:val="22"/>
              </w:rPr>
              <w:t>knowledge of the world and vocabulary acquisition is limited</w:t>
            </w:r>
            <w:r>
              <w:rPr>
                <w:bCs/>
                <w:color w:val="auto"/>
                <w:sz w:val="22"/>
                <w:szCs w:val="22"/>
              </w:rPr>
              <w:t>. There was a lack of enrichment opportunities during school closure and these challenges particularly affect disadvantaged pupils, including their attainment.</w:t>
            </w:r>
          </w:p>
        </w:tc>
      </w:tr>
      <w:tr w:rsidR="008A350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8A3508" w:rsidRDefault="008A3508" w:rsidP="008A3508">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2A7B0FD" w:rsidR="008A3508" w:rsidRDefault="008A3508" w:rsidP="008A3508">
            <w:pPr>
              <w:pStyle w:val="TableRowCentered"/>
              <w:ind w:left="0" w:right="0"/>
              <w:jc w:val="left"/>
              <w:rPr>
                <w:iCs/>
                <w:sz w:val="22"/>
              </w:rPr>
            </w:pPr>
            <w:r>
              <w:rPr>
                <w:iCs/>
                <w:sz w:val="22"/>
                <w:szCs w:val="22"/>
              </w:rPr>
              <w:t>Discussions show p</w:t>
            </w:r>
            <w:r w:rsidRPr="00E234D3">
              <w:rPr>
                <w:iCs/>
                <w:sz w:val="22"/>
                <w:szCs w:val="22"/>
              </w:rPr>
              <w:t>arental engagement across school is limited</w:t>
            </w:r>
            <w:r>
              <w:rPr>
                <w:iCs/>
                <w:sz w:val="22"/>
                <w:szCs w:val="22"/>
              </w:rPr>
              <w:t>, particularly for disadvantaged pupils which is impacting upon progress and attainment, particularly in reading.</w:t>
            </w:r>
          </w:p>
        </w:tc>
      </w:tr>
    </w:tbl>
    <w:p w14:paraId="2A7D54FF" w14:textId="77777777" w:rsidR="00E66558" w:rsidRDefault="009D71E8">
      <w:pPr>
        <w:pStyle w:val="Heading2"/>
        <w:spacing w:before="600"/>
      </w:pPr>
      <w:bookmarkStart w:id="18"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48A3A3F" w:rsidR="00E66558" w:rsidRPr="008A3508" w:rsidRDefault="008A3508" w:rsidP="00C31636">
            <w:pPr>
              <w:pStyle w:val="TableRow"/>
              <w:ind w:left="0" w:right="0"/>
            </w:pPr>
            <w:r>
              <w:rPr>
                <w:sz w:val="22"/>
                <w:szCs w:val="22"/>
              </w:rPr>
              <w:t>Accelerate progress and close the gap between disadvantaged and non-disadvantaged, with at least national expectations being met for ARE and GDS at the end of key Stage Two.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DAA8" w14:textId="77777777" w:rsidR="00E66558" w:rsidRDefault="008A3508" w:rsidP="00C31636">
            <w:pPr>
              <w:pStyle w:val="TableRowCentered"/>
              <w:ind w:left="0" w:right="0"/>
              <w:jc w:val="left"/>
              <w:rPr>
                <w:sz w:val="22"/>
                <w:szCs w:val="22"/>
              </w:rPr>
            </w:pPr>
            <w:r>
              <w:rPr>
                <w:sz w:val="22"/>
                <w:szCs w:val="22"/>
              </w:rPr>
              <w:t>Termly data meetings will show the gap is closing and pupils will make or exceed expected progress.</w:t>
            </w:r>
          </w:p>
          <w:p w14:paraId="2A7D5505" w14:textId="0AEDE258" w:rsidR="008A3508" w:rsidRDefault="004471CC" w:rsidP="00C31636">
            <w:pPr>
              <w:pStyle w:val="TableRowCentered"/>
              <w:ind w:left="0" w:right="0"/>
              <w:jc w:val="left"/>
              <w:rPr>
                <w:sz w:val="22"/>
                <w:szCs w:val="22"/>
              </w:rPr>
            </w:pPr>
            <w:r>
              <w:rPr>
                <w:sz w:val="22"/>
                <w:szCs w:val="22"/>
              </w:rPr>
              <w:t xml:space="preserve">End of key stage data in 2026/2027 shows that attainment </w:t>
            </w:r>
            <w:r w:rsidR="00D0771F">
              <w:rPr>
                <w:sz w:val="22"/>
                <w:szCs w:val="22"/>
              </w:rPr>
              <w:t>for disadvantaged pupils is above the national average at ARE and GDS.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4842D1" w:rsidR="00E66558" w:rsidRDefault="00835E3B" w:rsidP="00C31636">
            <w:pPr>
              <w:pStyle w:val="TableRow"/>
              <w:ind w:left="0" w:right="0"/>
              <w:rPr>
                <w:sz w:val="22"/>
                <w:szCs w:val="22"/>
              </w:rPr>
            </w:pPr>
            <w:r w:rsidRPr="002731A7">
              <w:rPr>
                <w:sz w:val="22"/>
                <w:szCs w:val="22"/>
              </w:rPr>
              <w:t>Quality first teaching takes place in all classrooms, considering principles of effective classroom practice.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CE9A81" w:rsidR="00E66558" w:rsidRDefault="00835E3B" w:rsidP="00C31636">
            <w:pPr>
              <w:pStyle w:val="TableRowCentered"/>
              <w:ind w:left="0" w:right="0"/>
              <w:jc w:val="left"/>
              <w:rPr>
                <w:sz w:val="22"/>
                <w:szCs w:val="22"/>
              </w:rPr>
            </w:pPr>
            <w:r w:rsidRPr="002731A7">
              <w:rPr>
                <w:sz w:val="22"/>
                <w:szCs w:val="22"/>
              </w:rPr>
              <w:t>QA process identifies that all pupil experience lessons that enable at least good progress to be made.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9F19" w14:textId="77777777" w:rsidR="00E66558" w:rsidRDefault="00835E3B" w:rsidP="00C31636">
            <w:pPr>
              <w:pStyle w:val="TableRow"/>
              <w:ind w:left="0" w:right="0"/>
              <w:rPr>
                <w:sz w:val="22"/>
                <w:szCs w:val="22"/>
              </w:rPr>
            </w:pPr>
            <w:r>
              <w:rPr>
                <w:sz w:val="22"/>
                <w:szCs w:val="22"/>
              </w:rPr>
              <w:t>Accelerate the progress between disadvantaged and non-disadvantaged pupils in EYFS so that the gap is closed.</w:t>
            </w:r>
          </w:p>
          <w:p w14:paraId="6A779FD4" w14:textId="77777777" w:rsidR="00835E3B" w:rsidRDefault="00835E3B" w:rsidP="00C31636">
            <w:pPr>
              <w:pStyle w:val="TableRow"/>
              <w:ind w:left="0" w:right="0"/>
              <w:rPr>
                <w:sz w:val="22"/>
                <w:szCs w:val="22"/>
              </w:rPr>
            </w:pPr>
          </w:p>
          <w:p w14:paraId="2A7D550A" w14:textId="769354DC" w:rsidR="00835E3B" w:rsidRDefault="00835E3B"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9A74" w14:textId="77777777" w:rsidR="00835E3B" w:rsidRPr="002731A7" w:rsidRDefault="00835E3B" w:rsidP="00835E3B">
            <w:pPr>
              <w:pStyle w:val="TableRowCentered"/>
              <w:jc w:val="left"/>
              <w:rPr>
                <w:sz w:val="22"/>
                <w:szCs w:val="22"/>
              </w:rPr>
            </w:pPr>
            <w:r w:rsidRPr="002731A7">
              <w:rPr>
                <w:sz w:val="22"/>
                <w:szCs w:val="22"/>
              </w:rPr>
              <w:t>EYFS progress data shows narrowing of S&amp;L gap and improved progress measures</w:t>
            </w:r>
            <w:r>
              <w:rPr>
                <w:sz w:val="22"/>
                <w:szCs w:val="22"/>
              </w:rPr>
              <w:t xml:space="preserve"> with the attainment gap no more than 10% between disadvantaged and non-disadvantaged pupils (yearly data).</w:t>
            </w:r>
          </w:p>
          <w:p w14:paraId="2A7D550B" w14:textId="4B465849" w:rsidR="00E66558" w:rsidRDefault="00E66558" w:rsidP="00835E3B">
            <w:pPr>
              <w:pStyle w:val="TableRowCentered"/>
              <w:ind w:left="0" w:right="0"/>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06FA9D" w:rsidR="00E66558" w:rsidRDefault="00835E3B" w:rsidP="00C31636">
            <w:pPr>
              <w:pStyle w:val="TableRow"/>
              <w:ind w:left="0" w:right="0"/>
              <w:rPr>
                <w:sz w:val="22"/>
                <w:szCs w:val="22"/>
              </w:rPr>
            </w:pPr>
            <w:r>
              <w:rPr>
                <w:sz w:val="22"/>
                <w:szCs w:val="22"/>
              </w:rPr>
              <w:t>Disadvantaged pupils’ emotional literacy improves.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B674B53" w:rsidR="00E66558" w:rsidRDefault="00835E3B" w:rsidP="00C31636">
            <w:pPr>
              <w:pStyle w:val="TableRowCentered"/>
              <w:ind w:left="0" w:right="0"/>
              <w:jc w:val="left"/>
              <w:rPr>
                <w:sz w:val="22"/>
                <w:szCs w:val="22"/>
              </w:rPr>
            </w:pPr>
            <w:r w:rsidRPr="002731A7">
              <w:rPr>
                <w:sz w:val="22"/>
                <w:szCs w:val="22"/>
              </w:rPr>
              <w:t>NFER questionnaires demonstrate measured impact on specific areas of emotional literacy through targeted nurture provision</w:t>
            </w:r>
            <w:r>
              <w:rPr>
                <w:sz w:val="22"/>
                <w:szCs w:val="22"/>
              </w:rPr>
              <w:t xml:space="preserve"> leading to sustained levels of wellbeing from 2024/2025 onwards.</w:t>
            </w:r>
          </w:p>
        </w:tc>
      </w:tr>
      <w:tr w:rsidR="00835E3B" w14:paraId="5863FED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437B" w14:textId="77777777" w:rsidR="00835E3B" w:rsidRDefault="00835E3B" w:rsidP="00C31636">
            <w:pPr>
              <w:pStyle w:val="TableRow"/>
              <w:ind w:left="0" w:right="0"/>
              <w:rPr>
                <w:sz w:val="22"/>
                <w:szCs w:val="22"/>
              </w:rPr>
            </w:pPr>
            <w:r>
              <w:rPr>
                <w:sz w:val="22"/>
                <w:szCs w:val="22"/>
              </w:rPr>
              <w:t>Attendance gap between disadvantaged and on-disadvantaged pupils to reduce, including persistence absence.</w:t>
            </w:r>
          </w:p>
          <w:p w14:paraId="16B85D8E" w14:textId="41198F84" w:rsidR="00835E3B" w:rsidRDefault="00835E3B" w:rsidP="00C31636">
            <w:pPr>
              <w:pStyle w:val="TableRow"/>
              <w:ind w:left="0" w:right="0"/>
              <w:rPr>
                <w:sz w:val="22"/>
                <w:szCs w:val="22"/>
              </w:rPr>
            </w:pPr>
            <w:r>
              <w:rPr>
                <w:sz w:val="22"/>
                <w:szCs w:val="22"/>
              </w:rPr>
              <w:t>For disadvantaged attendance to be in-line with national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1AAE" w14:textId="77777777" w:rsidR="00835E3B" w:rsidRDefault="00835E3B" w:rsidP="00C31636">
            <w:pPr>
              <w:pStyle w:val="TableRowCentered"/>
              <w:ind w:left="0" w:right="0"/>
              <w:jc w:val="left"/>
              <w:rPr>
                <w:sz w:val="22"/>
                <w:szCs w:val="22"/>
              </w:rPr>
            </w:pPr>
            <w:r>
              <w:rPr>
                <w:sz w:val="22"/>
                <w:szCs w:val="22"/>
              </w:rPr>
              <w:t>Sustained higher attendance from 2026-2027</w:t>
            </w:r>
            <w:r w:rsidR="00A36B80">
              <w:rPr>
                <w:sz w:val="22"/>
                <w:szCs w:val="22"/>
              </w:rPr>
              <w:t xml:space="preserve"> demonstrated by:</w:t>
            </w:r>
          </w:p>
          <w:p w14:paraId="0A187908" w14:textId="4BD9D703" w:rsidR="00A36B80" w:rsidRPr="00B112F0" w:rsidRDefault="00A36B80" w:rsidP="00A36B80">
            <w:pPr>
              <w:pStyle w:val="TableRowCentered"/>
              <w:jc w:val="left"/>
              <w:rPr>
                <w:sz w:val="22"/>
                <w:szCs w:val="22"/>
              </w:rPr>
            </w:pPr>
            <w:r w:rsidRPr="00B112F0">
              <w:rPr>
                <w:sz w:val="22"/>
                <w:szCs w:val="22"/>
              </w:rPr>
              <w:t xml:space="preserve">The overall absence rate for pupils </w:t>
            </w:r>
            <w:r>
              <w:rPr>
                <w:sz w:val="22"/>
                <w:szCs w:val="22"/>
              </w:rPr>
              <w:t>to be lower than the national average</w:t>
            </w:r>
            <w:r w:rsidRPr="00B112F0">
              <w:rPr>
                <w:sz w:val="22"/>
                <w:szCs w:val="22"/>
              </w:rPr>
              <w:t xml:space="preserve"> and the attendance gap between disadvantaged and non-disadvantaged peers </w:t>
            </w:r>
            <w:r>
              <w:rPr>
                <w:sz w:val="22"/>
                <w:szCs w:val="22"/>
              </w:rPr>
              <w:t>to be no higher than 1%</w:t>
            </w:r>
          </w:p>
          <w:p w14:paraId="39E9C62A" w14:textId="32F2488E" w:rsidR="00A36B80" w:rsidRPr="002731A7" w:rsidRDefault="00A36B80" w:rsidP="00A36B80">
            <w:pPr>
              <w:pStyle w:val="TableRowCentered"/>
              <w:ind w:left="0" w:right="0"/>
              <w:jc w:val="left"/>
              <w:rPr>
                <w:sz w:val="22"/>
                <w:szCs w:val="22"/>
              </w:rPr>
            </w:pPr>
            <w:r w:rsidRPr="00B112F0">
              <w:rPr>
                <w:sz w:val="22"/>
                <w:szCs w:val="22"/>
              </w:rPr>
              <w:t xml:space="preserve">The percentage of all pupils who are persistently absent being below 90% and the figure among disadvantaged pupils being no more than </w:t>
            </w:r>
            <w:r>
              <w:rPr>
                <w:sz w:val="22"/>
                <w:szCs w:val="22"/>
              </w:rPr>
              <w:t>5</w:t>
            </w:r>
            <w:r w:rsidRPr="00B112F0">
              <w:rPr>
                <w:sz w:val="22"/>
                <w:szCs w:val="22"/>
              </w:rPr>
              <w:t>% lower than their peers.</w:t>
            </w:r>
          </w:p>
        </w:tc>
      </w:tr>
      <w:tr w:rsidR="00835E3B" w14:paraId="282B6E6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8C58" w14:textId="67A3A312" w:rsidR="00835E3B" w:rsidRDefault="00A36B80" w:rsidP="00C31636">
            <w:pPr>
              <w:pStyle w:val="TableRow"/>
              <w:ind w:left="0" w:right="0"/>
              <w:rPr>
                <w:sz w:val="22"/>
                <w:szCs w:val="22"/>
              </w:rPr>
            </w:pPr>
            <w:r>
              <w:rPr>
                <w:sz w:val="22"/>
                <w:szCs w:val="22"/>
              </w:rPr>
              <w:t xml:space="preserve">For Disadvantaged pupils to participate in a wider range of enrichment activities alongside a rich and varied curriculum enhanced by trips, </w:t>
            </w:r>
            <w:r>
              <w:rPr>
                <w:sz w:val="22"/>
                <w:szCs w:val="22"/>
              </w:rPr>
              <w:lastRenderedPageBreak/>
              <w:t>visitors and experiences within school to broaden their knowledge.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1239" w14:textId="77777777" w:rsidR="00A36B80" w:rsidRPr="00B516ED" w:rsidRDefault="00A36B80" w:rsidP="00A36B80">
            <w:pPr>
              <w:pStyle w:val="TableRowCentered"/>
              <w:jc w:val="left"/>
              <w:rPr>
                <w:sz w:val="22"/>
                <w:szCs w:val="22"/>
              </w:rPr>
            </w:pPr>
            <w:r>
              <w:rPr>
                <w:sz w:val="22"/>
                <w:szCs w:val="22"/>
              </w:rPr>
              <w:lastRenderedPageBreak/>
              <w:t>Each year, l</w:t>
            </w:r>
            <w:r w:rsidRPr="00B516ED">
              <w:rPr>
                <w:sz w:val="22"/>
                <w:szCs w:val="22"/>
              </w:rPr>
              <w:t>ong term and medium-term planning demonstrate rich and varied experiences that all students experience</w:t>
            </w:r>
            <w:r>
              <w:rPr>
                <w:sz w:val="22"/>
                <w:szCs w:val="22"/>
              </w:rPr>
              <w:t xml:space="preserve">. </w:t>
            </w:r>
          </w:p>
          <w:p w14:paraId="57B3CF7A" w14:textId="45B68152" w:rsidR="00835E3B" w:rsidRPr="002731A7" w:rsidRDefault="00A36B80" w:rsidP="00A36B80">
            <w:pPr>
              <w:pStyle w:val="TableRowCentered"/>
              <w:ind w:left="0" w:right="0"/>
              <w:jc w:val="left"/>
              <w:rPr>
                <w:sz w:val="22"/>
                <w:szCs w:val="22"/>
              </w:rPr>
            </w:pPr>
            <w:r w:rsidRPr="00B516ED">
              <w:rPr>
                <w:sz w:val="22"/>
                <w:szCs w:val="22"/>
              </w:rPr>
              <w:lastRenderedPageBreak/>
              <w:t xml:space="preserve">Tracking of extra-curricular sessions used to priorities and direct </w:t>
            </w:r>
            <w:r>
              <w:rPr>
                <w:sz w:val="22"/>
                <w:szCs w:val="22"/>
              </w:rPr>
              <w:t xml:space="preserve">disadvantaged </w:t>
            </w:r>
            <w:r w:rsidRPr="00B516ED">
              <w:rPr>
                <w:sz w:val="22"/>
                <w:szCs w:val="22"/>
              </w:rPr>
              <w:t>students to engage</w:t>
            </w:r>
            <w:r>
              <w:rPr>
                <w:sz w:val="22"/>
                <w:szCs w:val="22"/>
              </w:rPr>
              <w:t xml:space="preserve"> in at least one additional session every year.</w:t>
            </w:r>
            <w:r w:rsidRPr="00B516ED">
              <w:rPr>
                <w:sz w:val="22"/>
                <w:szCs w:val="22"/>
              </w:rPr>
              <w:t xml:space="preserve"> </w:t>
            </w:r>
            <w:r>
              <w:rPr>
                <w:sz w:val="22"/>
                <w:szCs w:val="22"/>
              </w:rPr>
              <w:t>Disadvantaged</w:t>
            </w:r>
            <w:r w:rsidRPr="00B516ED">
              <w:rPr>
                <w:sz w:val="22"/>
                <w:szCs w:val="22"/>
              </w:rPr>
              <w:t xml:space="preserve"> students will have socio-economic barriers removed to support the development of skills essential for curriculum on offer</w:t>
            </w:r>
            <w:r>
              <w:rPr>
                <w:sz w:val="22"/>
                <w:szCs w:val="22"/>
              </w:rPr>
              <w:t xml:space="preserve"> as impacted in progress data (yearly).</w:t>
            </w:r>
          </w:p>
        </w:tc>
      </w:tr>
      <w:tr w:rsidR="00835E3B" w14:paraId="797FFB6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81BB" w14:textId="6234AE1C" w:rsidR="00835E3B" w:rsidRDefault="00A36B80" w:rsidP="00A36B80">
            <w:pPr>
              <w:pStyle w:val="TableRow"/>
              <w:tabs>
                <w:tab w:val="left" w:pos="1290"/>
              </w:tabs>
              <w:ind w:left="0" w:right="0"/>
              <w:rPr>
                <w:sz w:val="22"/>
                <w:szCs w:val="22"/>
              </w:rPr>
            </w:pPr>
            <w:r>
              <w:rPr>
                <w:sz w:val="22"/>
                <w:szCs w:val="22"/>
              </w:rPr>
              <w:lastRenderedPageBreak/>
              <w:t>Increased engagement and participation from disadvantaged families to improve either academic and/or social and emotional outcomes for 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B457" w14:textId="77777777" w:rsidR="00A36B80" w:rsidRPr="00DF26FF" w:rsidRDefault="00A36B80" w:rsidP="00A36B80">
            <w:pPr>
              <w:pStyle w:val="TableRow"/>
              <w:ind w:left="0"/>
              <w:rPr>
                <w:sz w:val="22"/>
                <w:szCs w:val="22"/>
              </w:rPr>
            </w:pPr>
            <w:r w:rsidRPr="00DF26FF">
              <w:rPr>
                <w:sz w:val="22"/>
                <w:szCs w:val="22"/>
              </w:rPr>
              <w:t>Parents indicate there are strong links between home and school and support is received for a wide range of needs.</w:t>
            </w:r>
            <w:r>
              <w:rPr>
                <w:sz w:val="22"/>
                <w:szCs w:val="22"/>
              </w:rPr>
              <w:t xml:space="preserve"> This will be shown through parental questionnaires and discussions conducted yearly.</w:t>
            </w:r>
          </w:p>
          <w:p w14:paraId="15BC5BF0" w14:textId="5E55A403" w:rsidR="00835E3B" w:rsidRDefault="00A36B80" w:rsidP="00A36B80">
            <w:pPr>
              <w:pStyle w:val="TableRowCentered"/>
              <w:ind w:left="0" w:right="0"/>
              <w:jc w:val="left"/>
              <w:rPr>
                <w:sz w:val="22"/>
                <w:szCs w:val="22"/>
              </w:rPr>
            </w:pPr>
            <w:r>
              <w:rPr>
                <w:sz w:val="22"/>
                <w:szCs w:val="22"/>
              </w:rPr>
              <w:t>Personalised support by lead TA leads to improved outcomes for key PP students through targeted support and/or external providers as indicated through yearly data outcomes.</w:t>
            </w:r>
          </w:p>
          <w:p w14:paraId="2653D786" w14:textId="4497FC71" w:rsidR="00A36B80" w:rsidRPr="00A36B80" w:rsidRDefault="00A36B80" w:rsidP="00A36B80"/>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3FB40E2" w:rsidR="00E66558" w:rsidRDefault="009D71E8">
      <w:r>
        <w:t xml:space="preserve">Budgeted cost: £ </w:t>
      </w:r>
      <w:r w:rsidR="00724370">
        <w:rPr>
          <w:i/>
          <w:iCs/>
        </w:rPr>
        <w:t>144,984</w:t>
      </w:r>
    </w:p>
    <w:tbl>
      <w:tblPr>
        <w:tblW w:w="5000" w:type="pct"/>
        <w:tblCellMar>
          <w:left w:w="10" w:type="dxa"/>
          <w:right w:w="10" w:type="dxa"/>
        </w:tblCellMar>
        <w:tblLook w:val="04A0" w:firstRow="1" w:lastRow="0" w:firstColumn="1" w:lastColumn="0" w:noHBand="0" w:noVBand="1"/>
      </w:tblPr>
      <w:tblGrid>
        <w:gridCol w:w="2688"/>
        <w:gridCol w:w="5375"/>
        <w:gridCol w:w="1423"/>
      </w:tblGrid>
      <w:tr w:rsidR="00E66558" w14:paraId="2A7D5519"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37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42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CD78D4" w14:paraId="2A7D551D"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F7FF" w14:textId="77777777" w:rsidR="00CD78D4" w:rsidRPr="00C27BE6" w:rsidRDefault="00CD78D4" w:rsidP="00CD78D4">
            <w:pPr>
              <w:pStyle w:val="TableRow"/>
              <w:rPr>
                <w:rFonts w:cs="Arial"/>
                <w:iCs/>
                <w:sz w:val="22"/>
                <w:szCs w:val="22"/>
              </w:rPr>
            </w:pPr>
            <w:r w:rsidRPr="00C27BE6">
              <w:rPr>
                <w:rFonts w:cs="Arial"/>
                <w:color w:val="000000" w:themeColor="text1"/>
                <w:sz w:val="22"/>
                <w:szCs w:val="22"/>
              </w:rPr>
              <w:t>Additional staff deployed to specific year groups to improve attainment:</w:t>
            </w:r>
          </w:p>
          <w:p w14:paraId="5086AF74" w14:textId="77777777" w:rsidR="00CD78D4" w:rsidRDefault="00CD78D4" w:rsidP="00CD78D4">
            <w:pPr>
              <w:pStyle w:val="TableRow"/>
              <w:rPr>
                <w:rFonts w:cs="Arial"/>
                <w:i/>
                <w:sz w:val="22"/>
                <w:szCs w:val="22"/>
              </w:rPr>
            </w:pPr>
            <w:r w:rsidRPr="001472B1">
              <w:rPr>
                <w:rFonts w:cs="Arial"/>
                <w:i/>
                <w:iCs/>
                <w:sz w:val="22"/>
                <w:szCs w:val="22"/>
              </w:rPr>
              <w:t>UPS teacher appointed to work within Year 6 cohort t</w:t>
            </w:r>
            <w:r w:rsidRPr="001472B1">
              <w:rPr>
                <w:rFonts w:cs="Arial"/>
                <w:sz w:val="22"/>
                <w:szCs w:val="22"/>
              </w:rPr>
              <w:t xml:space="preserve">o allow </w:t>
            </w:r>
            <w:r w:rsidRPr="001472B1">
              <w:rPr>
                <w:rFonts w:cs="Arial"/>
                <w:i/>
                <w:sz w:val="22"/>
                <w:szCs w:val="22"/>
              </w:rPr>
              <w:t>Year 6 cohort to be taught as two smaller classes and a small group.</w:t>
            </w:r>
          </w:p>
          <w:p w14:paraId="53B70950" w14:textId="77777777" w:rsidR="00724370" w:rsidRPr="00C27BE6" w:rsidRDefault="00724370" w:rsidP="00CD78D4">
            <w:pPr>
              <w:pStyle w:val="TableRow"/>
              <w:rPr>
                <w:rFonts w:cs="Arial"/>
                <w:i/>
                <w:sz w:val="22"/>
                <w:szCs w:val="22"/>
              </w:rPr>
            </w:pPr>
          </w:p>
          <w:p w14:paraId="53D75926" w14:textId="2233F7B8" w:rsidR="00CD78D4" w:rsidRDefault="00CD78D4" w:rsidP="00CD78D4">
            <w:pPr>
              <w:pStyle w:val="TableRow"/>
              <w:rPr>
                <w:rFonts w:cs="Arial"/>
                <w:i/>
                <w:sz w:val="22"/>
                <w:szCs w:val="22"/>
              </w:rPr>
            </w:pPr>
            <w:r w:rsidRPr="00C27BE6">
              <w:rPr>
                <w:rFonts w:cs="Arial"/>
                <w:i/>
                <w:sz w:val="22"/>
                <w:szCs w:val="22"/>
              </w:rPr>
              <w:t xml:space="preserve">Two Level 3 Teaching Assistants to work in </w:t>
            </w:r>
            <w:r>
              <w:rPr>
                <w:rFonts w:cs="Arial"/>
                <w:i/>
                <w:sz w:val="22"/>
                <w:szCs w:val="22"/>
              </w:rPr>
              <w:t xml:space="preserve">Year 1 and </w:t>
            </w:r>
            <w:r w:rsidRPr="00C27BE6">
              <w:rPr>
                <w:rFonts w:cs="Arial"/>
                <w:i/>
                <w:sz w:val="22"/>
                <w:szCs w:val="22"/>
              </w:rPr>
              <w:t xml:space="preserve">Year </w:t>
            </w:r>
            <w:r>
              <w:rPr>
                <w:rFonts w:cs="Arial"/>
                <w:i/>
                <w:sz w:val="22"/>
                <w:szCs w:val="22"/>
              </w:rPr>
              <w:t>2</w:t>
            </w:r>
            <w:r w:rsidRPr="00C27BE6">
              <w:rPr>
                <w:rFonts w:cs="Arial"/>
                <w:i/>
                <w:sz w:val="22"/>
                <w:szCs w:val="22"/>
              </w:rPr>
              <w:t xml:space="preserve"> in </w:t>
            </w:r>
            <w:r w:rsidRPr="00C27BE6">
              <w:rPr>
                <w:rFonts w:cs="Arial"/>
                <w:i/>
                <w:sz w:val="22"/>
                <w:szCs w:val="22"/>
              </w:rPr>
              <w:lastRenderedPageBreak/>
              <w:t>the mornings to support with the delivery of Phonics, English and Maths.</w:t>
            </w:r>
          </w:p>
          <w:p w14:paraId="691A2DF0" w14:textId="1151874B" w:rsidR="00CD78D4" w:rsidRPr="00C27BE6" w:rsidRDefault="005B215B" w:rsidP="00CD78D4">
            <w:pPr>
              <w:pStyle w:val="TableRow"/>
              <w:rPr>
                <w:rFonts w:cs="Arial"/>
                <w:i/>
                <w:sz w:val="22"/>
                <w:szCs w:val="22"/>
              </w:rPr>
            </w:pPr>
            <w:r>
              <w:rPr>
                <w:rFonts w:cs="Arial"/>
                <w:i/>
                <w:sz w:val="22"/>
                <w:szCs w:val="22"/>
              </w:rPr>
              <w:t>SENCO</w:t>
            </w:r>
            <w:r w:rsidR="00CD78D4">
              <w:rPr>
                <w:rFonts w:cs="Arial"/>
                <w:i/>
                <w:sz w:val="22"/>
                <w:szCs w:val="22"/>
              </w:rPr>
              <w:t xml:space="preserve"> to work supporting standards and SEND provision across school</w:t>
            </w:r>
          </w:p>
          <w:p w14:paraId="2A7D551A" w14:textId="2FED1D8D" w:rsidR="00CD78D4" w:rsidRDefault="00CD78D4" w:rsidP="00CD78D4">
            <w:pPr>
              <w:pStyle w:val="TableRow"/>
              <w:ind w:left="0" w:right="0"/>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53A6F" w14:textId="77777777" w:rsidR="00EA0048" w:rsidRPr="00C27BE6" w:rsidRDefault="00EA0048" w:rsidP="00EA0048">
            <w:pPr>
              <w:pStyle w:val="TableRowCentered"/>
              <w:jc w:val="left"/>
              <w:rPr>
                <w:rFonts w:cs="Arial"/>
                <w:color w:val="auto"/>
                <w:sz w:val="22"/>
                <w:szCs w:val="22"/>
              </w:rPr>
            </w:pPr>
            <w:r w:rsidRPr="00C27BE6">
              <w:rPr>
                <w:rFonts w:cs="Arial"/>
                <w:color w:val="auto"/>
                <w:sz w:val="22"/>
                <w:szCs w:val="22"/>
              </w:rPr>
              <w:lastRenderedPageBreak/>
              <w:t>EEF(+3</w:t>
            </w:r>
            <w:r>
              <w:rPr>
                <w:rFonts w:cs="Arial"/>
                <w:color w:val="auto"/>
                <w:sz w:val="22"/>
                <w:szCs w:val="22"/>
              </w:rPr>
              <w:t xml:space="preserve"> months</w:t>
            </w:r>
            <w:r w:rsidRPr="00C27BE6">
              <w:rPr>
                <w:rFonts w:cs="Arial"/>
                <w:color w:val="auto"/>
                <w:sz w:val="22"/>
                <w:szCs w:val="22"/>
              </w:rPr>
              <w:t>)</w:t>
            </w:r>
          </w:p>
          <w:p w14:paraId="2A7D551B" w14:textId="54F8167E" w:rsidR="00EA0048" w:rsidRPr="00EA0048" w:rsidRDefault="00EA0048" w:rsidP="00EA0048">
            <w:pPr>
              <w:pStyle w:val="TableRowCentered"/>
              <w:ind w:left="0" w:right="0"/>
              <w:jc w:val="left"/>
              <w:rPr>
                <w:rFonts w:cs="Arial"/>
                <w:color w:val="auto"/>
                <w:sz w:val="22"/>
                <w:szCs w:val="22"/>
                <w:shd w:val="clear" w:color="auto" w:fill="FFFFFF"/>
              </w:rPr>
            </w:pPr>
            <w:r w:rsidRPr="00FB7B33">
              <w:rPr>
                <w:rFonts w:cs="Arial"/>
                <w:color w:val="auto"/>
                <w:sz w:val="22"/>
                <w:szCs w:val="22"/>
                <w:shd w:val="clear" w:color="auto" w:fill="FFFFFF"/>
              </w:rPr>
              <w:t>As the size of a class or teaching group gets smaller it is suggested that the range of approaches a teacher can employ and the amount of attention each student will receive will increase, improving outcomes for pupils.  We have analysed the needs of our year 6 cohort and have identified that 2 smaller classes under 25 children and a small group of targeted pupil premium children would allow teachers to increase the amount of attention each child will receive.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20ED781" w:rsidR="00CD78D4" w:rsidRDefault="00EA0048" w:rsidP="00CD78D4">
            <w:pPr>
              <w:pStyle w:val="TableRowCentered"/>
              <w:ind w:left="0" w:right="0"/>
              <w:jc w:val="left"/>
              <w:rPr>
                <w:sz w:val="22"/>
              </w:rPr>
            </w:pPr>
            <w:r>
              <w:rPr>
                <w:sz w:val="22"/>
              </w:rPr>
              <w:t>1, 2</w:t>
            </w:r>
          </w:p>
        </w:tc>
      </w:tr>
      <w:tr w:rsidR="00EA0048" w14:paraId="73501DBA"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44E0" w14:textId="77777777" w:rsidR="00EA0048" w:rsidRDefault="00EA0048" w:rsidP="00EA0048">
            <w:pPr>
              <w:pStyle w:val="TableRow"/>
              <w:rPr>
                <w:rFonts w:cs="Arial"/>
                <w:color w:val="000000" w:themeColor="text1"/>
                <w:sz w:val="22"/>
                <w:szCs w:val="22"/>
              </w:rPr>
            </w:pPr>
            <w:r>
              <w:rPr>
                <w:rFonts w:cs="Arial"/>
                <w:color w:val="000000" w:themeColor="text1"/>
                <w:sz w:val="22"/>
                <w:szCs w:val="22"/>
              </w:rPr>
              <w:t xml:space="preserve">Teacher CPD programme </w:t>
            </w:r>
          </w:p>
          <w:p w14:paraId="40A419F1" w14:textId="1B2554AC" w:rsidR="00EA0048" w:rsidRPr="00C27BE6" w:rsidRDefault="00EA0048" w:rsidP="00EA0048">
            <w:pPr>
              <w:pStyle w:val="TableRow"/>
              <w:rPr>
                <w:rFonts w:cs="Arial"/>
                <w:color w:val="000000" w:themeColor="text1"/>
                <w:sz w:val="22"/>
                <w:szCs w:val="22"/>
              </w:rPr>
            </w:pPr>
            <w:r>
              <w:rPr>
                <w:rFonts w:cs="Arial"/>
                <w:color w:val="000000" w:themeColor="text1"/>
                <w:sz w:val="22"/>
                <w:szCs w:val="22"/>
              </w:rPr>
              <w:t>e.g. retention, whole-school times tables initiative, CPD, Phonics, data analysis</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E77F" w14:textId="77777777" w:rsidR="00EA0048" w:rsidRDefault="00EA0048" w:rsidP="00EA0048">
            <w:pPr>
              <w:pStyle w:val="TableRowCentered"/>
              <w:jc w:val="left"/>
            </w:pPr>
            <w:r>
              <w:t>According the EEF’s Guide to The Pupil Premium ‘Making sure an effective teacher is in front of every class, and that every teacher is supported to keep improving, is especially important for socioeconomically disadvantaged pupils. Investing in high quality teaching should rightly be a top priority for Pupil Premium spending.</w:t>
            </w:r>
          </w:p>
          <w:p w14:paraId="19BDAB56" w14:textId="77777777" w:rsidR="00EA0048" w:rsidRPr="00C27BE6" w:rsidRDefault="00EA0048" w:rsidP="00EA0048">
            <w:pPr>
              <w:pStyle w:val="TableRow"/>
              <w:numPr>
                <w:ilvl w:val="0"/>
                <w:numId w:val="19"/>
              </w:numPr>
              <w:ind w:left="318" w:hanging="284"/>
              <w:textAlignment w:val="baseline"/>
              <w:rPr>
                <w:rFonts w:cs="Arial"/>
                <w:color w:val="000000" w:themeColor="text1"/>
                <w:sz w:val="22"/>
                <w:szCs w:val="22"/>
              </w:rPr>
            </w:pPr>
            <w:r w:rsidRPr="00C27BE6">
              <w:rPr>
                <w:rFonts w:cs="Arial"/>
                <w:color w:val="000000" w:themeColor="text1"/>
                <w:sz w:val="22"/>
                <w:szCs w:val="22"/>
              </w:rPr>
              <w:t>EEF guide to pupil premium – tiered approach – teaching is the top priority, including CPD.</w:t>
            </w:r>
          </w:p>
          <w:p w14:paraId="1C62BE90" w14:textId="417410CF" w:rsidR="00EA0048" w:rsidRDefault="00EA0048" w:rsidP="00EA0048">
            <w:pPr>
              <w:pStyle w:val="TableRow"/>
              <w:numPr>
                <w:ilvl w:val="0"/>
                <w:numId w:val="19"/>
              </w:numPr>
              <w:ind w:left="318" w:hanging="284"/>
              <w:textAlignment w:val="baseline"/>
              <w:rPr>
                <w:rFonts w:cs="Arial"/>
                <w:color w:val="000000" w:themeColor="text1"/>
                <w:sz w:val="22"/>
                <w:szCs w:val="22"/>
              </w:rPr>
            </w:pPr>
            <w:r w:rsidRPr="00C27BE6">
              <w:rPr>
                <w:rFonts w:cs="Arial"/>
                <w:color w:val="000000" w:themeColor="text1"/>
                <w:sz w:val="22"/>
                <w:szCs w:val="22"/>
              </w:rPr>
              <w:t>Sutton Trust – quality first teaching has direct impact on student outcomes.</w:t>
            </w:r>
          </w:p>
          <w:p w14:paraId="026D5446" w14:textId="77777777" w:rsidR="00EA0048" w:rsidRDefault="00EA0048" w:rsidP="00EA0048">
            <w:pPr>
              <w:pStyle w:val="TableRowCentered"/>
              <w:jc w:val="left"/>
              <w:rPr>
                <w:rFonts w:cs="Arial"/>
                <w:color w:val="000000" w:themeColor="text1"/>
                <w:sz w:val="22"/>
                <w:szCs w:val="22"/>
              </w:rPr>
            </w:pPr>
            <w:r w:rsidRPr="00C27BE6">
              <w:rPr>
                <w:rFonts w:cs="Arial"/>
                <w:color w:val="000000" w:themeColor="text1"/>
                <w:sz w:val="22"/>
                <w:szCs w:val="22"/>
              </w:rPr>
              <w:t>Training and supporting highly qualified teachers deliver targeted support.</w:t>
            </w:r>
          </w:p>
          <w:p w14:paraId="3746A82B" w14:textId="77777777" w:rsidR="00EA0048" w:rsidRDefault="003F0A10" w:rsidP="00EA0048">
            <w:pPr>
              <w:pStyle w:val="TableRowCentered"/>
              <w:jc w:val="left"/>
              <w:rPr>
                <w:rFonts w:cs="Arial"/>
                <w:sz w:val="22"/>
                <w:szCs w:val="22"/>
              </w:rPr>
            </w:pPr>
            <w:hyperlink r:id="rId11" w:history="1">
              <w:r w:rsidR="00EA0048" w:rsidRPr="008B1E5D">
                <w:rPr>
                  <w:rStyle w:val="Hyperlink"/>
                  <w:rFonts w:cs="Arial"/>
                  <w:sz w:val="22"/>
                  <w:szCs w:val="22"/>
                </w:rPr>
                <w:t>Pupil premium guidance Education Endowment Fund EEF</w:t>
              </w:r>
            </w:hyperlink>
          </w:p>
          <w:p w14:paraId="2CAE4FF1" w14:textId="77777777" w:rsidR="00EA0048" w:rsidRDefault="00EA0048" w:rsidP="00EA0048">
            <w:pPr>
              <w:pStyle w:val="TableRowCentered"/>
              <w:jc w:val="left"/>
              <w:rPr>
                <w:rFonts w:cs="Arial"/>
                <w:sz w:val="22"/>
                <w:szCs w:val="22"/>
              </w:rPr>
            </w:pPr>
          </w:p>
          <w:p w14:paraId="1CB5B855" w14:textId="363DA49F" w:rsidR="00EA0048" w:rsidRPr="00C27BE6" w:rsidRDefault="003F0A10" w:rsidP="00EA0048">
            <w:pPr>
              <w:pStyle w:val="TableRow"/>
              <w:numPr>
                <w:ilvl w:val="0"/>
                <w:numId w:val="19"/>
              </w:numPr>
              <w:ind w:left="318" w:hanging="284"/>
              <w:textAlignment w:val="baseline"/>
              <w:rPr>
                <w:rFonts w:cs="Arial"/>
                <w:color w:val="000000" w:themeColor="text1"/>
                <w:sz w:val="22"/>
                <w:szCs w:val="22"/>
              </w:rPr>
            </w:pPr>
            <w:hyperlink r:id="rId12" w:history="1">
              <w:r w:rsidR="00EA0048" w:rsidRPr="008B1E5D">
                <w:rPr>
                  <w:rStyle w:val="Hyperlink"/>
                  <w:rFonts w:cs="Arial"/>
                  <w:sz w:val="22"/>
                  <w:szCs w:val="22"/>
                </w:rPr>
                <w:t>What makes great teaching Sutton Trust</w:t>
              </w:r>
            </w:hyperlink>
          </w:p>
          <w:p w14:paraId="7284080B" w14:textId="0E4F1C64" w:rsidR="00EA0048" w:rsidRPr="00C27BE6" w:rsidRDefault="00EA0048" w:rsidP="00EA0048">
            <w:pPr>
              <w:pStyle w:val="TableRowCentered"/>
              <w:jc w:val="left"/>
              <w:rPr>
                <w:rFonts w:cs="Arial"/>
                <w:color w:val="auto"/>
                <w:sz w:val="22"/>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7180" w14:textId="704E1284" w:rsidR="00EA0048" w:rsidRDefault="00EA0048" w:rsidP="00CD78D4">
            <w:pPr>
              <w:pStyle w:val="TableRowCentered"/>
              <w:ind w:left="0" w:right="0"/>
              <w:jc w:val="left"/>
              <w:rPr>
                <w:sz w:val="22"/>
              </w:rPr>
            </w:pPr>
            <w:r>
              <w:rPr>
                <w:sz w:val="22"/>
              </w:rPr>
              <w:t>1, 2</w:t>
            </w:r>
          </w:p>
        </w:tc>
      </w:tr>
      <w:tr w:rsidR="00CD78D4" w14:paraId="2A7D5521"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7F0B" w14:textId="79E87400" w:rsidR="005B215B" w:rsidRDefault="005B215B" w:rsidP="005B215B">
            <w:pPr>
              <w:pStyle w:val="TableRow"/>
              <w:rPr>
                <w:sz w:val="22"/>
              </w:rPr>
            </w:pPr>
            <w:r w:rsidRPr="0006392D">
              <w:rPr>
                <w:sz w:val="22"/>
              </w:rPr>
              <w:t>Reading, Writing and Maths Leads to mentor and coach others where data is lower to improve outcomes for all, including pupil premium pupils</w:t>
            </w:r>
            <w:r w:rsidR="00835E3B">
              <w:rPr>
                <w:sz w:val="22"/>
              </w:rPr>
              <w:t>.</w:t>
            </w:r>
          </w:p>
          <w:p w14:paraId="65B72CD1" w14:textId="2D41593A" w:rsidR="00835E3B" w:rsidRDefault="00835E3B" w:rsidP="005B215B">
            <w:pPr>
              <w:pStyle w:val="TableRow"/>
              <w:rPr>
                <w:i/>
                <w:iCs/>
                <w:sz w:val="22"/>
              </w:rPr>
            </w:pPr>
            <w:r>
              <w:rPr>
                <w:i/>
                <w:iCs/>
                <w:sz w:val="22"/>
              </w:rPr>
              <w:t>2024/2025</w:t>
            </w:r>
            <w:r w:rsidR="00AE032B">
              <w:rPr>
                <w:i/>
                <w:iCs/>
                <w:sz w:val="22"/>
              </w:rPr>
              <w:t xml:space="preserve"> focus</w:t>
            </w:r>
          </w:p>
          <w:p w14:paraId="68B7DF9F" w14:textId="205B805E" w:rsidR="00835E3B" w:rsidRDefault="00835E3B" w:rsidP="005B215B">
            <w:pPr>
              <w:pStyle w:val="TableRow"/>
              <w:rPr>
                <w:i/>
                <w:iCs/>
                <w:sz w:val="22"/>
              </w:rPr>
            </w:pPr>
            <w:r>
              <w:rPr>
                <w:i/>
                <w:iCs/>
                <w:sz w:val="22"/>
              </w:rPr>
              <w:t>Maths focus on year 2 and improving multiplication check scores in Year 4</w:t>
            </w:r>
          </w:p>
          <w:p w14:paraId="6CD09658" w14:textId="73FD16BC" w:rsidR="00835E3B" w:rsidRPr="00835E3B" w:rsidRDefault="00AE032B" w:rsidP="005B215B">
            <w:pPr>
              <w:pStyle w:val="TableRow"/>
              <w:rPr>
                <w:i/>
                <w:iCs/>
                <w:sz w:val="22"/>
              </w:rPr>
            </w:pPr>
            <w:r>
              <w:rPr>
                <w:i/>
                <w:iCs/>
                <w:sz w:val="22"/>
              </w:rPr>
              <w:t>Reading and writing focus on Key Stage One to improve outcomes for disadvantaged pupils to at least national expectations</w:t>
            </w:r>
            <w:r w:rsidR="00835E3B">
              <w:rPr>
                <w:i/>
                <w:iCs/>
                <w:sz w:val="22"/>
              </w:rPr>
              <w:t xml:space="preserve"> </w:t>
            </w:r>
          </w:p>
          <w:p w14:paraId="013CB948" w14:textId="77777777" w:rsidR="005B215B" w:rsidRDefault="005B215B" w:rsidP="005B215B">
            <w:pPr>
              <w:pStyle w:val="TableRow"/>
              <w:ind w:right="0"/>
              <w:rPr>
                <w:i/>
                <w:sz w:val="22"/>
              </w:rPr>
            </w:pPr>
          </w:p>
          <w:p w14:paraId="507F5B2B" w14:textId="77777777" w:rsidR="00AE032B" w:rsidRDefault="005B215B" w:rsidP="00AE032B">
            <w:pPr>
              <w:pStyle w:val="TableRow"/>
              <w:rPr>
                <w:sz w:val="22"/>
              </w:rPr>
            </w:pPr>
            <w:r>
              <w:rPr>
                <w:sz w:val="22"/>
              </w:rPr>
              <w:t xml:space="preserve">Coaching and mentoring offered to all </w:t>
            </w:r>
            <w:r>
              <w:rPr>
                <w:sz w:val="22"/>
              </w:rPr>
              <w:lastRenderedPageBreak/>
              <w:t xml:space="preserve">adults teaching Phonics through Phonics Lead </w:t>
            </w:r>
          </w:p>
          <w:p w14:paraId="13DC576D" w14:textId="77777777" w:rsidR="00AE032B" w:rsidRPr="00AE032B" w:rsidRDefault="00AE032B" w:rsidP="00AE032B">
            <w:pPr>
              <w:pStyle w:val="TableRow"/>
              <w:rPr>
                <w:i/>
                <w:iCs/>
                <w:sz w:val="22"/>
              </w:rPr>
            </w:pPr>
            <w:r w:rsidRPr="00AE032B">
              <w:rPr>
                <w:i/>
                <w:iCs/>
                <w:sz w:val="22"/>
              </w:rPr>
              <w:t>2024/2025 focus</w:t>
            </w:r>
          </w:p>
          <w:p w14:paraId="2F71884C" w14:textId="345AA0EC" w:rsidR="00AE032B" w:rsidRDefault="00AE032B" w:rsidP="00AE032B">
            <w:pPr>
              <w:pStyle w:val="TableRow"/>
              <w:rPr>
                <w:i/>
                <w:iCs/>
                <w:sz w:val="22"/>
              </w:rPr>
            </w:pPr>
            <w:r>
              <w:rPr>
                <w:i/>
                <w:iCs/>
                <w:sz w:val="22"/>
              </w:rPr>
              <w:t>Phonics focus on year 1 to improve data to at least national outcomes</w:t>
            </w:r>
          </w:p>
          <w:p w14:paraId="119CB02A" w14:textId="3186A573" w:rsidR="005B215B" w:rsidRDefault="005B215B" w:rsidP="005B215B">
            <w:pPr>
              <w:pStyle w:val="TableRow"/>
              <w:rPr>
                <w:sz w:val="22"/>
              </w:rPr>
            </w:pPr>
          </w:p>
          <w:p w14:paraId="2A7D551E" w14:textId="1F8F2393" w:rsidR="005B215B" w:rsidRDefault="005B215B" w:rsidP="005B215B">
            <w:pPr>
              <w:pStyle w:val="TableRow"/>
              <w:ind w:right="0"/>
              <w:rPr>
                <w:i/>
                <w:sz w:val="22"/>
              </w:rPr>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50A22" w14:textId="77777777" w:rsidR="00EA0048" w:rsidRDefault="00EA0048" w:rsidP="00EA0048">
            <w:pPr>
              <w:pStyle w:val="TableRow"/>
              <w:textAlignment w:val="baseline"/>
              <w:rPr>
                <w:color w:val="000000" w:themeColor="text1"/>
              </w:rPr>
            </w:pPr>
            <w:r>
              <w:rPr>
                <w:color w:val="000000" w:themeColor="text1"/>
              </w:rPr>
              <w:lastRenderedPageBreak/>
              <w:t>EEF guide to pupil premium – tiered approach – teaching is the top priority, including CPD.</w:t>
            </w:r>
          </w:p>
          <w:p w14:paraId="30B28AAD" w14:textId="77777777" w:rsidR="00EA0048" w:rsidRDefault="00EA0048" w:rsidP="00EA0048">
            <w:pPr>
              <w:pStyle w:val="TableRow"/>
              <w:textAlignment w:val="baseline"/>
              <w:rPr>
                <w:color w:val="000000" w:themeColor="text1"/>
              </w:rPr>
            </w:pPr>
          </w:p>
          <w:p w14:paraId="4C7EDDE6" w14:textId="77777777" w:rsidR="00EA0048" w:rsidRDefault="00EA0048" w:rsidP="00EA0048">
            <w:pPr>
              <w:pStyle w:val="TableRow"/>
              <w:textAlignment w:val="baseline"/>
            </w:pPr>
            <w:r>
              <w:t>EEF Toolkit – Metacognition and self-regulation. +7 months impact Oral feedback. +7 months impact</w:t>
            </w:r>
          </w:p>
          <w:p w14:paraId="3A138C3C" w14:textId="77777777" w:rsidR="00EA0048" w:rsidRDefault="00EA0048" w:rsidP="00EA0048">
            <w:pPr>
              <w:pStyle w:val="TableRow"/>
              <w:textAlignment w:val="baseline"/>
            </w:pPr>
            <w:r>
              <w:t>Reading comprehension activities +6</w:t>
            </w:r>
          </w:p>
          <w:p w14:paraId="1AF79ECF" w14:textId="77777777" w:rsidR="00EA0048" w:rsidRDefault="00EA0048" w:rsidP="00EA0048">
            <w:pPr>
              <w:pStyle w:val="TableRow"/>
              <w:textAlignment w:val="baseline"/>
              <w:rPr>
                <w:color w:val="000000" w:themeColor="text1"/>
              </w:rPr>
            </w:pPr>
          </w:p>
          <w:p w14:paraId="289429D7" w14:textId="77777777" w:rsidR="00EA0048" w:rsidRDefault="00EA0048" w:rsidP="00EA0048">
            <w:pPr>
              <w:pStyle w:val="TableRow"/>
              <w:textAlignment w:val="baseline"/>
              <w:rPr>
                <w:color w:val="000000" w:themeColor="text1"/>
              </w:rPr>
            </w:pPr>
          </w:p>
          <w:p w14:paraId="5715F140" w14:textId="77777777" w:rsidR="00EA0048" w:rsidRDefault="00EA0048" w:rsidP="00EA0048">
            <w:pPr>
              <w:pStyle w:val="TableRow"/>
              <w:textAlignment w:val="baseline"/>
              <w:rPr>
                <w:color w:val="000000" w:themeColor="text1"/>
              </w:rPr>
            </w:pPr>
            <w:r>
              <w:rPr>
                <w:color w:val="000000" w:themeColor="text1"/>
              </w:rPr>
              <w:t xml:space="preserve">EEF (+5)- </w:t>
            </w:r>
            <w:r w:rsidRPr="00E1242C">
              <w:rPr>
                <w:rFonts w:cs="Arial"/>
                <w:color w:val="auto"/>
                <w:sz w:val="22"/>
                <w:szCs w:val="22"/>
                <w:shd w:val="clear" w:color="auto" w:fill="FAFAFA"/>
              </w:rPr>
              <w:t>Phonics has a positive impact overall (+5 months) with very extensive evidence and is an important component in the development of early reading skills, particularly for children from disadvantaged backgrounds.</w:t>
            </w:r>
          </w:p>
          <w:p w14:paraId="2A7D551F" w14:textId="77777777" w:rsidR="00CD78D4" w:rsidRDefault="00CD78D4" w:rsidP="00CD78D4">
            <w:pPr>
              <w:pStyle w:val="TableRowCentered"/>
              <w:ind w:left="0" w:right="0"/>
              <w:jc w:val="left"/>
              <w:rPr>
                <w:sz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E293514" w:rsidR="00CD78D4" w:rsidRDefault="00EA0048" w:rsidP="00CD78D4">
            <w:pPr>
              <w:pStyle w:val="TableRowCentered"/>
              <w:ind w:left="0" w:right="0"/>
              <w:jc w:val="left"/>
              <w:rPr>
                <w:sz w:val="22"/>
              </w:rPr>
            </w:pPr>
            <w:r>
              <w:rPr>
                <w:sz w:val="22"/>
              </w:rPr>
              <w:t>1</w:t>
            </w:r>
          </w:p>
        </w:tc>
      </w:tr>
      <w:tr w:rsidR="005B215B" w14:paraId="3A7C06FF"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4DD6A" w14:textId="6DAA6EE4" w:rsidR="005B215B" w:rsidRPr="0006392D" w:rsidRDefault="005B215B" w:rsidP="005B215B">
            <w:pPr>
              <w:pStyle w:val="TableRow"/>
              <w:rPr>
                <w:sz w:val="22"/>
              </w:rPr>
            </w:pPr>
            <w:r>
              <w:rPr>
                <w:sz w:val="22"/>
                <w:szCs w:val="22"/>
              </w:rPr>
              <w:t>1:1 pupil progress meetings with teachers and the headteacher &amp; the deputy headteacher (academic)</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28A3" w14:textId="1F213819" w:rsidR="005B215B" w:rsidRDefault="00EA0048" w:rsidP="005B215B">
            <w:pPr>
              <w:pStyle w:val="TableRowCentered"/>
              <w:ind w:left="0" w:right="0"/>
              <w:jc w:val="left"/>
              <w:rPr>
                <w:sz w:val="22"/>
              </w:rPr>
            </w:pPr>
            <w:r>
              <w:rPr>
                <w:sz w:val="22"/>
                <w:szCs w:val="22"/>
              </w:rPr>
              <w:t xml:space="preserve">Time for ongoing </w:t>
            </w:r>
            <w:r>
              <w:rPr>
                <w:sz w:val="22"/>
              </w:rPr>
              <w:t>professional dialogues regarding further support for these children will help to keep this a priority. There is a collected responsibility for PP children’s progress in order to make accelerated progress. Staff will know who they are, their barriers to learning and any strategies needed to meet their educational and emotional needs.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DC3D" w14:textId="0DE64C76" w:rsidR="005B215B" w:rsidRDefault="00EA0048" w:rsidP="005B215B">
            <w:pPr>
              <w:pStyle w:val="TableRowCentered"/>
              <w:ind w:left="0" w:right="0"/>
              <w:jc w:val="left"/>
              <w:rPr>
                <w:sz w:val="22"/>
              </w:rPr>
            </w:pPr>
            <w:r>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CE02748" w:rsidR="00E66558" w:rsidRDefault="009D71E8">
      <w:r>
        <w:t xml:space="preserve">Budgeted cost: £ </w:t>
      </w:r>
      <w:r w:rsidR="00A917C2">
        <w:rPr>
          <w:i/>
          <w:iCs/>
        </w:rPr>
        <w:t>11,479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A0048" w14:paraId="2A7D552C" w14:textId="77777777" w:rsidTr="00FD340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1799" w14:textId="77777777" w:rsidR="00EA0048" w:rsidRPr="005B215B" w:rsidRDefault="00EA0048" w:rsidP="00EA0048">
            <w:pPr>
              <w:pStyle w:val="TableRow"/>
            </w:pPr>
            <w:r w:rsidRPr="005B215B">
              <w:t>TA interventions focusing on emotional literacy, maths, reading or writing.</w:t>
            </w:r>
          </w:p>
          <w:p w14:paraId="391E2651" w14:textId="77777777" w:rsidR="00EA0048" w:rsidRPr="005B215B" w:rsidRDefault="00EA0048" w:rsidP="00EA0048">
            <w:pPr>
              <w:pStyle w:val="TableRow"/>
            </w:pPr>
          </w:p>
          <w:p w14:paraId="2A7D5529" w14:textId="2028AC21" w:rsidR="00EA0048" w:rsidRDefault="00EA0048" w:rsidP="00770F4A">
            <w:pPr>
              <w:pStyle w:val="TableRow"/>
            </w:pP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2DF9AD" w14:textId="77777777" w:rsidR="00EA0048" w:rsidRDefault="00EA0048" w:rsidP="00EA0048">
            <w:pPr>
              <w:pStyle w:val="TableRowCentered"/>
              <w:jc w:val="left"/>
              <w:rPr>
                <w:sz w:val="22"/>
              </w:rPr>
            </w:pPr>
            <w:r>
              <w:rPr>
                <w:sz w:val="22"/>
              </w:rPr>
              <w:t>EEF Teaching Assistant interventions(+4 months)</w:t>
            </w:r>
          </w:p>
          <w:p w14:paraId="5BD00151" w14:textId="77777777" w:rsidR="00EA0048" w:rsidRDefault="00EA0048" w:rsidP="00EA0048">
            <w:pPr>
              <w:suppressAutoHyphens w:val="0"/>
              <w:spacing w:after="0" w:line="240" w:lineRule="auto"/>
              <w:rPr>
                <w:rFonts w:ascii="Helvetica Neue" w:hAnsi="Helvetica Neue"/>
                <w:color w:val="auto"/>
                <w:shd w:val="clear" w:color="auto" w:fill="FFFFFF"/>
              </w:rPr>
            </w:pPr>
            <w:r w:rsidRPr="0006392D">
              <w:rPr>
                <w:rFonts w:ascii="Helvetica Neue" w:hAnsi="Helvetica Neue"/>
                <w:color w:val="auto"/>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55CF655B" w14:textId="77777777" w:rsidR="00EA0048" w:rsidRDefault="003F0A10" w:rsidP="00EA0048">
            <w:pPr>
              <w:suppressAutoHyphens w:val="0"/>
              <w:spacing w:after="0" w:line="240" w:lineRule="auto"/>
              <w:rPr>
                <w:rFonts w:ascii="Helvetica Neue" w:hAnsi="Helvetica Neue"/>
                <w:color w:val="auto"/>
                <w:shd w:val="clear" w:color="auto" w:fill="FFFFFF"/>
              </w:rPr>
            </w:pPr>
            <w:hyperlink r:id="rId13" w:history="1">
              <w:r w:rsidR="00EA0048" w:rsidRPr="008B1E5D">
                <w:rPr>
                  <w:rStyle w:val="Hyperlink"/>
                  <w:rFonts w:ascii="Helvetica Neue" w:hAnsi="Helvetica Neue"/>
                  <w:shd w:val="clear" w:color="auto" w:fill="FFFFFF"/>
                </w:rPr>
                <w:t>Teaching Assistant Interventions Toolkit Strand Education Endowment Fund EEF</w:t>
              </w:r>
            </w:hyperlink>
          </w:p>
          <w:p w14:paraId="2A7D552A" w14:textId="77777777" w:rsidR="00EA0048" w:rsidRDefault="00EA0048" w:rsidP="00EA0048">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71475CD" w:rsidR="00EA0048" w:rsidRDefault="00DB0861" w:rsidP="00EA0048">
            <w:pPr>
              <w:pStyle w:val="TableRowCentered"/>
              <w:ind w:left="0" w:right="0"/>
              <w:jc w:val="left"/>
              <w:rPr>
                <w:sz w:val="22"/>
              </w:rPr>
            </w:pPr>
            <w:r>
              <w:rPr>
                <w:sz w:val="22"/>
              </w:rPr>
              <w:t>1,2,4</w:t>
            </w:r>
          </w:p>
        </w:tc>
      </w:tr>
      <w:tr w:rsidR="00EA0048" w14:paraId="2A7D5530" w14:textId="77777777" w:rsidTr="00FD340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8FB5E" w14:textId="77777777" w:rsidR="00EA0048" w:rsidRPr="005B215B" w:rsidRDefault="00EA0048" w:rsidP="00EA0048">
            <w:pPr>
              <w:pStyle w:val="TableRow"/>
              <w:rPr>
                <w:sz w:val="22"/>
                <w:szCs w:val="22"/>
              </w:rPr>
            </w:pPr>
            <w:r w:rsidRPr="005B215B">
              <w:rPr>
                <w:sz w:val="22"/>
                <w:szCs w:val="22"/>
              </w:rPr>
              <w:t xml:space="preserve">Toe-By-Toe structured intervention </w:t>
            </w:r>
          </w:p>
          <w:p w14:paraId="6D305621" w14:textId="77777777" w:rsidR="00EA0048" w:rsidRPr="005B215B" w:rsidRDefault="00EA0048" w:rsidP="00EA0048">
            <w:pPr>
              <w:pStyle w:val="TableRow"/>
              <w:rPr>
                <w:sz w:val="22"/>
                <w:szCs w:val="22"/>
              </w:rPr>
            </w:pPr>
          </w:p>
          <w:p w14:paraId="72651A89" w14:textId="05207461" w:rsidR="00EA0048" w:rsidRPr="005B215B" w:rsidRDefault="00EA0048" w:rsidP="00EA0048">
            <w:pPr>
              <w:pStyle w:val="TableRow"/>
              <w:rPr>
                <w:sz w:val="22"/>
                <w:szCs w:val="22"/>
              </w:rPr>
            </w:pPr>
            <w:r>
              <w:rPr>
                <w:sz w:val="22"/>
                <w:szCs w:val="22"/>
              </w:rPr>
              <w:t>Dyslexia programme to identify children who may need further support</w:t>
            </w:r>
          </w:p>
          <w:p w14:paraId="2A7D552D" w14:textId="4497094B" w:rsidR="00EA0048" w:rsidRDefault="00EA0048" w:rsidP="00EA0048">
            <w:pPr>
              <w:pStyle w:val="TableRow"/>
              <w:ind w:left="0" w:right="0"/>
              <w:rPr>
                <w:i/>
                <w:sz w:val="22"/>
              </w:rPr>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A0048" w:rsidRDefault="00EA0048" w:rsidP="00EA0048">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F0956FC" w:rsidR="00EA0048" w:rsidRDefault="00DB0861" w:rsidP="00EA0048">
            <w:pPr>
              <w:pStyle w:val="TableRowCentered"/>
              <w:ind w:left="0" w:right="0"/>
              <w:jc w:val="left"/>
              <w:rPr>
                <w:sz w:val="22"/>
              </w:rPr>
            </w:pPr>
            <w:r>
              <w:rPr>
                <w:sz w:val="22"/>
              </w:rPr>
              <w:t>1,2,4</w:t>
            </w:r>
          </w:p>
        </w:tc>
      </w:tr>
      <w:tr w:rsidR="00EA0048" w14:paraId="7F6DFE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A021" w14:textId="4BB44A30" w:rsidR="00EA0048" w:rsidRDefault="00EA0048" w:rsidP="00EA0048">
            <w:pPr>
              <w:pStyle w:val="TableRow"/>
            </w:pPr>
            <w:r w:rsidRPr="005B215B">
              <w:t xml:space="preserve">Early Talk Boost intervention delivered </w:t>
            </w:r>
            <w:r w:rsidRPr="005B215B">
              <w:lastRenderedPageBreak/>
              <w:t>to EYFS children to improve S&amp;L</w:t>
            </w:r>
          </w:p>
          <w:p w14:paraId="4877A9D4" w14:textId="0F545A73" w:rsidR="00EA0048" w:rsidRPr="005B215B" w:rsidRDefault="00EA0048" w:rsidP="00403F54">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6E9B" w14:textId="77777777" w:rsidR="003F1108" w:rsidRDefault="003F1108" w:rsidP="003F1108">
            <w:pPr>
              <w:pStyle w:val="TableRowCentered"/>
              <w:numPr>
                <w:ilvl w:val="0"/>
                <w:numId w:val="21"/>
              </w:numPr>
              <w:ind w:left="318" w:hanging="284"/>
              <w:jc w:val="left"/>
              <w:rPr>
                <w:color w:val="000000" w:themeColor="text1"/>
                <w:sz w:val="22"/>
              </w:rPr>
            </w:pPr>
            <w:r>
              <w:rPr>
                <w:color w:val="000000" w:themeColor="text1"/>
                <w:sz w:val="22"/>
              </w:rPr>
              <w:lastRenderedPageBreak/>
              <w:t>EEF (+6 months)– oral language interventions consistently show positive impact on learning.</w:t>
            </w:r>
          </w:p>
          <w:p w14:paraId="25E0F685" w14:textId="77777777" w:rsidR="003F1108" w:rsidRDefault="003F0A10" w:rsidP="003F1108">
            <w:pPr>
              <w:pStyle w:val="TableRowCentered"/>
              <w:ind w:left="318"/>
              <w:jc w:val="left"/>
              <w:rPr>
                <w:color w:val="000000" w:themeColor="text1"/>
                <w:sz w:val="22"/>
              </w:rPr>
            </w:pPr>
            <w:hyperlink r:id="rId14" w:history="1">
              <w:r w:rsidR="003F1108" w:rsidRPr="00FC58F2">
                <w:rPr>
                  <w:rStyle w:val="Hyperlink"/>
                  <w:sz w:val="22"/>
                </w:rPr>
                <w:t>Education Endowment fund EEF</w:t>
              </w:r>
            </w:hyperlink>
          </w:p>
          <w:p w14:paraId="31BB002F" w14:textId="77777777" w:rsidR="00EA0048" w:rsidRDefault="00EA0048" w:rsidP="00EA0048">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E091" w14:textId="545AE92C" w:rsidR="00EA0048" w:rsidRDefault="00DB0861" w:rsidP="00EA0048">
            <w:pPr>
              <w:pStyle w:val="TableRowCentered"/>
              <w:ind w:left="0" w:right="0"/>
              <w:jc w:val="left"/>
              <w:rPr>
                <w:sz w:val="22"/>
              </w:rPr>
            </w:pPr>
            <w:r>
              <w:rPr>
                <w:sz w:val="22"/>
              </w:rPr>
              <w:lastRenderedPageBreak/>
              <w:t>2</w:t>
            </w:r>
          </w:p>
        </w:tc>
      </w:tr>
      <w:tr w:rsidR="00EA0048" w14:paraId="4CA1DE0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1842" w14:textId="77777777" w:rsidR="00EA0048" w:rsidRDefault="00EA0048" w:rsidP="00EA0048">
            <w:pPr>
              <w:pStyle w:val="TableRow"/>
            </w:pPr>
            <w:r>
              <w:t xml:space="preserve">Tutoring for Year 6 pupils </w:t>
            </w:r>
          </w:p>
          <w:p w14:paraId="2F1540C6" w14:textId="5A8E2C06" w:rsidR="00EA0048" w:rsidRPr="005B215B" w:rsidRDefault="00EA0048" w:rsidP="00EA004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A0B2" w14:textId="77777777" w:rsidR="003F1108" w:rsidRPr="00FB7B33" w:rsidRDefault="003F1108" w:rsidP="003F1108">
            <w:pPr>
              <w:pStyle w:val="TableRowCentered"/>
              <w:jc w:val="left"/>
              <w:rPr>
                <w:sz w:val="22"/>
              </w:rPr>
            </w:pPr>
            <w:r w:rsidRPr="00FB7B33">
              <w:rPr>
                <w:sz w:val="22"/>
              </w:rPr>
              <w:t>EEF (+4 months)</w:t>
            </w:r>
          </w:p>
          <w:p w14:paraId="5D5774AD" w14:textId="77777777" w:rsidR="003F1108" w:rsidRPr="00FB7B33" w:rsidRDefault="003F1108" w:rsidP="003F1108">
            <w:pPr>
              <w:suppressAutoHyphens w:val="0"/>
              <w:spacing w:after="0" w:line="240" w:lineRule="auto"/>
              <w:rPr>
                <w:rFonts w:ascii="Helvetica Neue" w:hAnsi="Helvetica Neue"/>
                <w:color w:val="auto"/>
                <w:shd w:val="clear" w:color="auto" w:fill="FFFFFF"/>
              </w:rPr>
            </w:pPr>
            <w:r w:rsidRPr="00FB7B33">
              <w:rPr>
                <w:rFonts w:ascii="Helvetica Neue" w:hAnsi="Helvetica Neue"/>
                <w:color w:val="auto"/>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7F23EA89" w14:textId="77777777" w:rsidR="003F1108" w:rsidRPr="00FB7B33" w:rsidRDefault="003F1108" w:rsidP="003F1108">
            <w:pPr>
              <w:suppressAutoHyphens w:val="0"/>
              <w:spacing w:after="0" w:line="240" w:lineRule="auto"/>
              <w:rPr>
                <w:rFonts w:ascii="Helvetica Neue" w:hAnsi="Helvetica Neue"/>
                <w:color w:val="auto"/>
                <w:shd w:val="clear" w:color="auto" w:fill="FFFFFF"/>
              </w:rPr>
            </w:pPr>
          </w:p>
          <w:p w14:paraId="1FE973DF" w14:textId="77777777" w:rsidR="003F1108" w:rsidRPr="00FB7B33" w:rsidRDefault="003F1108" w:rsidP="003F1108">
            <w:pPr>
              <w:suppressAutoHyphens w:val="0"/>
              <w:spacing w:after="0" w:line="240" w:lineRule="auto"/>
              <w:rPr>
                <w:color w:val="auto"/>
              </w:rPr>
            </w:pPr>
            <w:r w:rsidRPr="00FB7B33">
              <w:rPr>
                <w:color w:val="auto"/>
              </w:rPr>
              <w:t>Having analysed our cohorts we have identified that the Year 6 cohort need support to address gaps in maths.</w:t>
            </w:r>
          </w:p>
          <w:p w14:paraId="5A0EED47" w14:textId="77777777" w:rsidR="003F1108" w:rsidRPr="00FB7B33" w:rsidRDefault="003F1108" w:rsidP="003F1108">
            <w:pPr>
              <w:suppressAutoHyphens w:val="0"/>
              <w:spacing w:after="0" w:line="240" w:lineRule="auto"/>
              <w:rPr>
                <w:color w:val="auto"/>
              </w:rPr>
            </w:pPr>
          </w:p>
          <w:p w14:paraId="5D62B0DD" w14:textId="77777777" w:rsidR="00EA0048" w:rsidRDefault="00EA0048" w:rsidP="00EA0048">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EC52" w14:textId="3EB01EEB" w:rsidR="00EA0048" w:rsidRDefault="00DB0861" w:rsidP="00EA0048">
            <w:pPr>
              <w:pStyle w:val="TableRowCentered"/>
              <w:ind w:left="0" w:right="0"/>
              <w:jc w:val="left"/>
              <w:rPr>
                <w:sz w:val="22"/>
              </w:rPr>
            </w:pPr>
            <w:r>
              <w:rPr>
                <w:sz w:val="22"/>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D097685" w:rsidR="00E66558" w:rsidRDefault="009D71E8">
      <w:pPr>
        <w:spacing w:before="240" w:after="120"/>
      </w:pPr>
      <w:r>
        <w:t xml:space="preserve">Budgeted cost: £ </w:t>
      </w:r>
      <w:r w:rsidR="003D4BAD">
        <w:t>44,509</w:t>
      </w:r>
    </w:p>
    <w:tbl>
      <w:tblPr>
        <w:tblW w:w="5000" w:type="pct"/>
        <w:tblCellMar>
          <w:left w:w="10" w:type="dxa"/>
          <w:right w:w="10" w:type="dxa"/>
        </w:tblCellMar>
        <w:tblLook w:val="04A0" w:firstRow="1" w:lastRow="0" w:firstColumn="1" w:lastColumn="0" w:noHBand="0" w:noVBand="1"/>
      </w:tblPr>
      <w:tblGrid>
        <w:gridCol w:w="2688"/>
        <w:gridCol w:w="5375"/>
        <w:gridCol w:w="1423"/>
      </w:tblGrid>
      <w:tr w:rsidR="00E66558" w14:paraId="2A7D5537"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537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142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846E" w14:textId="2911BE33" w:rsidR="00CE103F" w:rsidRDefault="00CE103F" w:rsidP="00CE103F">
            <w:pPr>
              <w:pStyle w:val="TableRow"/>
              <w:rPr>
                <w:sz w:val="22"/>
                <w:szCs w:val="22"/>
              </w:rPr>
            </w:pPr>
            <w:r w:rsidRPr="0ED6B03E">
              <w:rPr>
                <w:sz w:val="22"/>
                <w:szCs w:val="22"/>
              </w:rPr>
              <w:t>Office Manager to analyse attendance and contact low attenders.  To complete First Day Call and support families to raise attendance / punctuality through following the policy</w:t>
            </w:r>
            <w:r w:rsidR="00AE032B">
              <w:rPr>
                <w:sz w:val="22"/>
                <w:szCs w:val="22"/>
              </w:rPr>
              <w:t>, linked to Attendance guidance August 2024.</w:t>
            </w:r>
          </w:p>
          <w:p w14:paraId="5B0E1A18" w14:textId="77777777" w:rsidR="00E66558" w:rsidRDefault="00E66558" w:rsidP="00C31636">
            <w:pPr>
              <w:pStyle w:val="TableRow"/>
              <w:ind w:left="0" w:right="0"/>
            </w:pPr>
          </w:p>
          <w:p w14:paraId="2A7D5538" w14:textId="29CFF5DC" w:rsidR="00CE103F" w:rsidRDefault="00CE103F" w:rsidP="00C31636">
            <w:pPr>
              <w:pStyle w:val="TableRow"/>
              <w:ind w:left="0" w:right="0"/>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1D8B43E" w:rsidR="00E66558" w:rsidRDefault="00EA0048" w:rsidP="00C31636">
            <w:pPr>
              <w:pStyle w:val="TableRowCentered"/>
              <w:ind w:left="0" w:right="0"/>
              <w:jc w:val="left"/>
              <w:rPr>
                <w:sz w:val="22"/>
              </w:rPr>
            </w:pPr>
            <w:r>
              <w:t>Attendance impacts on attainment. 2023 report published on the attendance crisis (Listening to, and learning from, parents in the attendance crisis) states, The link between attendance and attainment is well known. Sporadic attendance impacts children’s academic results, mental health and resilience. Those who take an occasional day (or a week, or a fortnight) off school miss building blocks of knowledge. Catching up is a treadmill that becomes unmanageable and so their learning is fractured.</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8AFCBA4" w:rsidR="00E66558" w:rsidRDefault="00DB0861" w:rsidP="00C31636">
            <w:pPr>
              <w:pStyle w:val="TableRowCentered"/>
              <w:ind w:left="0" w:right="0"/>
              <w:jc w:val="left"/>
              <w:rPr>
                <w:sz w:val="22"/>
              </w:rPr>
            </w:pPr>
            <w:r>
              <w:rPr>
                <w:sz w:val="22"/>
              </w:rPr>
              <w:t>1,3,5</w:t>
            </w:r>
          </w:p>
        </w:tc>
      </w:tr>
      <w:tr w:rsidR="00E66558" w14:paraId="2A7D553F"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B782" w14:textId="16D9FEBC" w:rsidR="00CE103F" w:rsidRDefault="00CE103F" w:rsidP="00CE103F">
            <w:pPr>
              <w:pStyle w:val="TableRow"/>
              <w:rPr>
                <w:sz w:val="22"/>
              </w:rPr>
            </w:pPr>
            <w:r>
              <w:rPr>
                <w:sz w:val="22"/>
              </w:rPr>
              <w:t>T</w:t>
            </w:r>
            <w:r w:rsidR="00AE032B">
              <w:rPr>
                <w:sz w:val="22"/>
              </w:rPr>
              <w:t>eaching assistant deployed</w:t>
            </w:r>
            <w:r>
              <w:rPr>
                <w:sz w:val="22"/>
              </w:rPr>
              <w:t xml:space="preserve"> to use ELSA </w:t>
            </w:r>
            <w:r>
              <w:rPr>
                <w:sz w:val="22"/>
              </w:rPr>
              <w:lastRenderedPageBreak/>
              <w:t>training to deliver bespoke nurture to key PP students that have external barriers.</w:t>
            </w:r>
          </w:p>
          <w:p w14:paraId="2A7D553C" w14:textId="35E83F44" w:rsidR="00E66558" w:rsidRDefault="00E66558" w:rsidP="00C31636">
            <w:pPr>
              <w:pStyle w:val="TableRow"/>
              <w:ind w:left="0" w:right="0"/>
              <w:rPr>
                <w:i/>
                <w:sz w:val="22"/>
              </w:rPr>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2E70FCF" w:rsidR="00E66558" w:rsidRDefault="00EA0048" w:rsidP="00C31636">
            <w:pPr>
              <w:pStyle w:val="TableRowCentered"/>
              <w:ind w:left="0" w:right="0"/>
              <w:jc w:val="left"/>
              <w:rPr>
                <w:sz w:val="22"/>
              </w:rPr>
            </w:pPr>
            <w:r>
              <w:lastRenderedPageBreak/>
              <w:t xml:space="preserve">A survey conducted by NHS digital found that, ‘Nearly 40% of 6 to 16-year-olds said they felt </w:t>
            </w:r>
            <w:r>
              <w:lastRenderedPageBreak/>
              <w:t>their mental health had got worse over lockdown.’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9F0C3AF" w:rsidR="00E66558" w:rsidRDefault="00DB0861" w:rsidP="00C31636">
            <w:pPr>
              <w:pStyle w:val="TableRowCentered"/>
              <w:ind w:left="0" w:right="0"/>
              <w:jc w:val="left"/>
              <w:rPr>
                <w:sz w:val="22"/>
              </w:rPr>
            </w:pPr>
            <w:r>
              <w:rPr>
                <w:sz w:val="22"/>
              </w:rPr>
              <w:lastRenderedPageBreak/>
              <w:t>2,4,5</w:t>
            </w:r>
          </w:p>
        </w:tc>
      </w:tr>
      <w:tr w:rsidR="00CE103F" w14:paraId="491126A7"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1F927" w14:textId="152D8067" w:rsidR="00CE103F" w:rsidRDefault="00AE032B" w:rsidP="00AE032B">
            <w:pPr>
              <w:pStyle w:val="TableRow"/>
              <w:rPr>
                <w:sz w:val="22"/>
              </w:rPr>
            </w:pPr>
            <w:r>
              <w:rPr>
                <w:sz w:val="22"/>
              </w:rPr>
              <w:t xml:space="preserve">Teaching assistants </w:t>
            </w:r>
            <w:r w:rsidR="00CE103F">
              <w:rPr>
                <w:sz w:val="22"/>
              </w:rPr>
              <w:t>to deliver nurture provision</w:t>
            </w:r>
          </w:p>
          <w:p w14:paraId="0D729025" w14:textId="4E5F37B0" w:rsidR="00CE103F" w:rsidRDefault="00CE103F" w:rsidP="00CE103F">
            <w:pPr>
              <w:pStyle w:val="TableRow"/>
              <w:rPr>
                <w:sz w:val="22"/>
              </w:rPr>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6F7F" w14:textId="77777777" w:rsidR="003F1108" w:rsidRDefault="003F1108" w:rsidP="003F1108">
            <w:pPr>
              <w:pStyle w:val="TableRowCentered"/>
              <w:jc w:val="left"/>
              <w:rPr>
                <w:color w:val="000000" w:themeColor="text1"/>
                <w:sz w:val="22"/>
              </w:rPr>
            </w:pPr>
            <w:r>
              <w:rPr>
                <w:color w:val="000000" w:themeColor="text1"/>
                <w:sz w:val="22"/>
              </w:rPr>
              <w:t>EEF (+4)– social and emotional learning – improves interaction with others and self -management of emotions – impacts on attitudes to learning and social relationships in school, which increases progress in attainment.</w:t>
            </w:r>
          </w:p>
          <w:p w14:paraId="7F108120" w14:textId="69D54DB3" w:rsidR="00CE103F" w:rsidRDefault="003F0A10" w:rsidP="003F1108">
            <w:pPr>
              <w:pStyle w:val="TableRowCentered"/>
              <w:ind w:left="0" w:right="0"/>
              <w:jc w:val="left"/>
              <w:rPr>
                <w:sz w:val="22"/>
              </w:rPr>
            </w:pPr>
            <w:hyperlink r:id="rId15" w:history="1">
              <w:r w:rsidR="003F1108" w:rsidRPr="008B1E5D">
                <w:rPr>
                  <w:rStyle w:val="Hyperlink"/>
                  <w:sz w:val="22"/>
                </w:rPr>
                <w:t>social and emotional learning Toolkit Strand Education Endowment Fund EEF</w:t>
              </w:r>
            </w:hyperlink>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B6D7" w14:textId="5E8DBD70" w:rsidR="00CE103F" w:rsidRDefault="00DB0861" w:rsidP="00C31636">
            <w:pPr>
              <w:pStyle w:val="TableRowCentered"/>
              <w:ind w:left="0" w:right="0"/>
              <w:jc w:val="left"/>
              <w:rPr>
                <w:sz w:val="22"/>
              </w:rPr>
            </w:pPr>
            <w:r>
              <w:rPr>
                <w:sz w:val="22"/>
              </w:rPr>
              <w:t>2,5</w:t>
            </w:r>
          </w:p>
        </w:tc>
      </w:tr>
      <w:tr w:rsidR="00CE103F" w14:paraId="4BAD9BF2"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5B45" w14:textId="7B1C5B2A" w:rsidR="00CE103F" w:rsidRDefault="00CE103F" w:rsidP="00CE103F">
            <w:pPr>
              <w:pStyle w:val="TableRow"/>
              <w:rPr>
                <w:iCs/>
                <w:sz w:val="22"/>
                <w:szCs w:val="22"/>
              </w:rPr>
            </w:pPr>
            <w:r>
              <w:rPr>
                <w:iCs/>
                <w:sz w:val="22"/>
                <w:szCs w:val="22"/>
              </w:rPr>
              <w:t>Family support worker</w:t>
            </w:r>
            <w:r w:rsidRPr="001472B1">
              <w:rPr>
                <w:iCs/>
                <w:sz w:val="22"/>
                <w:szCs w:val="22"/>
              </w:rPr>
              <w:t xml:space="preserve"> to work with vulnerable families and improve parental engagement (toddler group, community events etc, family learning projects etc.)</w:t>
            </w:r>
          </w:p>
          <w:p w14:paraId="0A4EFD72" w14:textId="77777777" w:rsidR="00CE103F" w:rsidRDefault="00CE103F" w:rsidP="00741345">
            <w:pPr>
              <w:pStyle w:val="TableRow"/>
              <w:rPr>
                <w:sz w:val="22"/>
              </w:rPr>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3EEE" w14:textId="77777777" w:rsidR="00CE103F" w:rsidRDefault="00EA0048" w:rsidP="00C31636">
            <w:pPr>
              <w:pStyle w:val="TableRowCentered"/>
              <w:ind w:left="0" w:right="0"/>
              <w:jc w:val="left"/>
            </w:pPr>
            <w:r>
              <w:t>Babies and toddlers from poorer backgrounds have been disproportionately affected by the pandemic, with less access to books and outdoor space during lockdown than children growing up in wealthier families.’ (study conducted in 2020 by researchers at five UK universities and funded by the Economic and Social Research Council)</w:t>
            </w:r>
          </w:p>
          <w:p w14:paraId="59000F67" w14:textId="77777777" w:rsidR="003F1108" w:rsidRDefault="003F1108" w:rsidP="00C31636">
            <w:pPr>
              <w:pStyle w:val="TableRowCentered"/>
              <w:ind w:left="0" w:right="0"/>
              <w:jc w:val="left"/>
            </w:pPr>
          </w:p>
          <w:p w14:paraId="725BBC2E" w14:textId="77777777" w:rsidR="003F1108" w:rsidRDefault="003F1108" w:rsidP="003F1108">
            <w:pPr>
              <w:pStyle w:val="NormalWeb"/>
              <w:spacing w:before="0" w:beforeAutospacing="0" w:after="288" w:afterAutospacing="0"/>
              <w:rPr>
                <w:rFonts w:ascii="Helvetica Neue" w:hAnsi="Helvetica Neue"/>
                <w:color w:val="2B3A42"/>
              </w:rPr>
            </w:pPr>
            <w:r>
              <w:rPr>
                <w:rFonts w:ascii="Helvetica Neue" w:hAnsi="Helvetica Neue"/>
                <w:color w:val="2B3A42"/>
              </w:rPr>
              <w:t>EEF (+4 months)</w:t>
            </w:r>
          </w:p>
          <w:p w14:paraId="444F21C7" w14:textId="77777777" w:rsidR="003F1108" w:rsidRDefault="003F1108" w:rsidP="003F1108">
            <w:pPr>
              <w:pStyle w:val="NormalWeb"/>
              <w:spacing w:before="0" w:beforeAutospacing="0" w:after="288" w:afterAutospacing="0"/>
              <w:rPr>
                <w:rFonts w:ascii="Helvetica Neue" w:hAnsi="Helvetica Neue"/>
                <w:color w:val="2B3A42"/>
              </w:rPr>
            </w:pPr>
            <w:r>
              <w:rPr>
                <w:rFonts w:ascii="Helvetica Neue" w:hAnsi="Helvetica Neue"/>
                <w:color w:val="2B3A42"/>
              </w:rPr>
              <w:t>There is strong evidence to indicate that work with families through a layered approach (academic, emotional, families in crisis etc) has a positive impact on pupil progress.</w:t>
            </w:r>
          </w:p>
          <w:p w14:paraId="2ACFACE1" w14:textId="77777777" w:rsidR="003F1108" w:rsidRDefault="003F0A10" w:rsidP="003F1108">
            <w:pPr>
              <w:suppressAutoHyphens w:val="0"/>
              <w:autoSpaceDN/>
              <w:spacing w:before="100" w:beforeAutospacing="1" w:after="100" w:afterAutospacing="1" w:line="240" w:lineRule="auto"/>
              <w:rPr>
                <w:rFonts w:ascii="Helvetica Neue" w:hAnsi="Helvetica Neue"/>
                <w:color w:val="2B3A42"/>
              </w:rPr>
            </w:pPr>
            <w:hyperlink r:id="rId16" w:history="1">
              <w:r w:rsidR="003F1108">
                <w:rPr>
                  <w:rStyle w:val="Hyperlink"/>
                  <w:rFonts w:ascii="Helvetica Neue" w:hAnsi="Helvetica Neue"/>
                </w:rPr>
                <w:t>Parental Engagement Toolkit Strand Education Endowment Fund EEF</w:t>
              </w:r>
            </w:hyperlink>
          </w:p>
          <w:p w14:paraId="135DC719" w14:textId="584137A1" w:rsidR="003F1108" w:rsidRDefault="003F1108" w:rsidP="00C31636">
            <w:pPr>
              <w:pStyle w:val="TableRowCentered"/>
              <w:ind w:left="0" w:right="0"/>
              <w:jc w:val="left"/>
              <w:rPr>
                <w:sz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C4E7" w14:textId="2845E9C4" w:rsidR="00CE103F" w:rsidRDefault="00DB0861" w:rsidP="00C31636">
            <w:pPr>
              <w:pStyle w:val="TableRowCentered"/>
              <w:ind w:left="0" w:right="0"/>
              <w:jc w:val="left"/>
              <w:rPr>
                <w:sz w:val="22"/>
              </w:rPr>
            </w:pPr>
            <w:r>
              <w:rPr>
                <w:sz w:val="22"/>
              </w:rPr>
              <w:t>2,3,4,5</w:t>
            </w:r>
          </w:p>
        </w:tc>
      </w:tr>
      <w:tr w:rsidR="003F1108" w14:paraId="4034B017" w14:textId="77777777" w:rsidTr="00EA004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F7B6" w14:textId="77777777" w:rsidR="003F1108" w:rsidRPr="00130F00" w:rsidRDefault="003F1108" w:rsidP="003F1108">
            <w:pPr>
              <w:pStyle w:val="TableRow"/>
              <w:numPr>
                <w:ilvl w:val="0"/>
                <w:numId w:val="18"/>
              </w:numPr>
              <w:ind w:left="313" w:hanging="284"/>
              <w:textAlignment w:val="baseline"/>
              <w:rPr>
                <w:color w:val="000000" w:themeColor="text1"/>
              </w:rPr>
            </w:pPr>
            <w:r w:rsidRPr="00130F00">
              <w:rPr>
                <w:rStyle w:val="PlaceholderText"/>
                <w:color w:val="000000" w:themeColor="text1"/>
              </w:rPr>
              <w:t>Cultural capital experiences promoted in the curriculum.</w:t>
            </w:r>
          </w:p>
          <w:p w14:paraId="3972E9CB" w14:textId="77777777" w:rsidR="003F1108" w:rsidRPr="00130F00" w:rsidRDefault="003F1108" w:rsidP="003F1108">
            <w:pPr>
              <w:pStyle w:val="TableRow"/>
              <w:numPr>
                <w:ilvl w:val="0"/>
                <w:numId w:val="18"/>
              </w:numPr>
              <w:ind w:left="313" w:hanging="284"/>
              <w:textAlignment w:val="baseline"/>
              <w:rPr>
                <w:color w:val="000000" w:themeColor="text1"/>
              </w:rPr>
            </w:pPr>
            <w:r w:rsidRPr="00130F00">
              <w:rPr>
                <w:rStyle w:val="PlaceholderText"/>
                <w:color w:val="000000" w:themeColor="text1"/>
              </w:rPr>
              <w:t xml:space="preserve">Minibus to transport pupils </w:t>
            </w:r>
            <w:r>
              <w:rPr>
                <w:rStyle w:val="PlaceholderText"/>
                <w:color w:val="000000" w:themeColor="text1"/>
              </w:rPr>
              <w:t>to residentials and competitions.</w:t>
            </w:r>
          </w:p>
          <w:p w14:paraId="087FE113" w14:textId="77777777" w:rsidR="003F1108" w:rsidRPr="00130F00" w:rsidRDefault="003F1108" w:rsidP="003F1108">
            <w:pPr>
              <w:pStyle w:val="TableRow"/>
              <w:numPr>
                <w:ilvl w:val="0"/>
                <w:numId w:val="18"/>
              </w:numPr>
              <w:ind w:left="313" w:hanging="284"/>
              <w:textAlignment w:val="baseline"/>
              <w:rPr>
                <w:color w:val="000000" w:themeColor="text1"/>
              </w:rPr>
            </w:pPr>
            <w:r w:rsidRPr="00130F00">
              <w:rPr>
                <w:rStyle w:val="PlaceholderText"/>
                <w:color w:val="000000" w:themeColor="text1"/>
              </w:rPr>
              <w:t>Reduction in cost of trips for PP</w:t>
            </w:r>
          </w:p>
          <w:p w14:paraId="2CEA3E97" w14:textId="77777777" w:rsidR="003F1108" w:rsidRPr="00130F00" w:rsidRDefault="003F1108" w:rsidP="003F1108">
            <w:pPr>
              <w:pStyle w:val="TableRow"/>
              <w:numPr>
                <w:ilvl w:val="0"/>
                <w:numId w:val="18"/>
              </w:numPr>
              <w:ind w:left="313" w:hanging="284"/>
              <w:textAlignment w:val="baseline"/>
              <w:rPr>
                <w:color w:val="000000" w:themeColor="text1"/>
              </w:rPr>
            </w:pPr>
            <w:r w:rsidRPr="00130F00">
              <w:rPr>
                <w:rStyle w:val="PlaceholderText"/>
                <w:color w:val="000000" w:themeColor="text1"/>
              </w:rPr>
              <w:t>Residential trip cost is greatly reduced for PP</w:t>
            </w:r>
          </w:p>
          <w:p w14:paraId="316FF289" w14:textId="77777777" w:rsidR="003F1108" w:rsidRPr="00130F00" w:rsidRDefault="003F1108" w:rsidP="003F1108">
            <w:pPr>
              <w:pStyle w:val="TableRow"/>
              <w:numPr>
                <w:ilvl w:val="0"/>
                <w:numId w:val="18"/>
              </w:numPr>
              <w:ind w:left="313" w:hanging="284"/>
              <w:textAlignment w:val="baseline"/>
              <w:rPr>
                <w:color w:val="000000" w:themeColor="text1"/>
              </w:rPr>
            </w:pPr>
            <w:r w:rsidRPr="00130F00">
              <w:rPr>
                <w:rStyle w:val="PlaceholderText"/>
                <w:color w:val="000000" w:themeColor="text1"/>
              </w:rPr>
              <w:t>Sports events promoted to PP are encouraged to attend</w:t>
            </w:r>
          </w:p>
          <w:p w14:paraId="2EB836C8" w14:textId="77777777" w:rsidR="003F1108" w:rsidRDefault="003F1108" w:rsidP="003F1108">
            <w:pPr>
              <w:pStyle w:val="TableRow"/>
              <w:numPr>
                <w:ilvl w:val="0"/>
                <w:numId w:val="18"/>
              </w:numPr>
              <w:ind w:left="313" w:hanging="284"/>
              <w:textAlignment w:val="baseline"/>
              <w:rPr>
                <w:rStyle w:val="PlaceholderText"/>
                <w:color w:val="000000" w:themeColor="text1"/>
              </w:rPr>
            </w:pPr>
            <w:r w:rsidRPr="00130F00">
              <w:rPr>
                <w:rStyle w:val="PlaceholderText"/>
                <w:color w:val="000000" w:themeColor="text1"/>
              </w:rPr>
              <w:lastRenderedPageBreak/>
              <w:t>Outdoor learning encouraged</w:t>
            </w:r>
          </w:p>
          <w:p w14:paraId="262BF084" w14:textId="77777777" w:rsidR="003F1108" w:rsidRDefault="003F1108" w:rsidP="00741345">
            <w:pPr>
              <w:pStyle w:val="TableRow"/>
              <w:textAlignment w:val="baseline"/>
              <w:rPr>
                <w:iCs/>
                <w:sz w:val="22"/>
                <w:szCs w:val="22"/>
              </w:rPr>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578A" w14:textId="77777777" w:rsidR="003F1108" w:rsidRDefault="003F1108" w:rsidP="003F1108">
            <w:pPr>
              <w:pStyle w:val="TableRowCentered"/>
              <w:jc w:val="left"/>
              <w:rPr>
                <w:color w:val="000000" w:themeColor="text1"/>
                <w:szCs w:val="24"/>
              </w:rPr>
            </w:pPr>
            <w:r>
              <w:rPr>
                <w:color w:val="000000" w:themeColor="text1"/>
                <w:szCs w:val="24"/>
              </w:rPr>
              <w:lastRenderedPageBreak/>
              <w:t>Learning is contextualised in concrete experiences and language rich environments.</w:t>
            </w:r>
          </w:p>
          <w:p w14:paraId="6BF83148" w14:textId="77777777" w:rsidR="003F1108" w:rsidRDefault="003F1108" w:rsidP="003F1108">
            <w:pPr>
              <w:pStyle w:val="TableRowCentered"/>
              <w:jc w:val="left"/>
              <w:rPr>
                <w:color w:val="000000" w:themeColor="text1"/>
                <w:szCs w:val="24"/>
              </w:rPr>
            </w:pPr>
          </w:p>
          <w:p w14:paraId="2B87836E" w14:textId="77777777" w:rsidR="003F1108" w:rsidRDefault="003F1108" w:rsidP="003F1108">
            <w:pPr>
              <w:pStyle w:val="TableRowCentered"/>
              <w:jc w:val="left"/>
              <w:rPr>
                <w:color w:val="000000" w:themeColor="text1"/>
                <w:szCs w:val="24"/>
              </w:rPr>
            </w:pPr>
            <w:r>
              <w:rPr>
                <w:color w:val="000000" w:themeColor="text1"/>
                <w:szCs w:val="24"/>
              </w:rPr>
              <w:t>Oftsed research (2019) places emphasis on improving cultural capital, particularly for disadvantaged pupils.</w:t>
            </w:r>
          </w:p>
          <w:p w14:paraId="08C9D893" w14:textId="77777777" w:rsidR="003F1108" w:rsidRDefault="003F1108" w:rsidP="003F1108">
            <w:pPr>
              <w:pStyle w:val="TableRowCentered"/>
              <w:jc w:val="left"/>
              <w:rPr>
                <w:color w:val="000000" w:themeColor="text1"/>
                <w:szCs w:val="24"/>
              </w:rPr>
            </w:pPr>
          </w:p>
          <w:p w14:paraId="42862910" w14:textId="77777777" w:rsidR="003F1108" w:rsidRDefault="003F1108" w:rsidP="003F1108">
            <w:pPr>
              <w:pStyle w:val="TableRowCentered"/>
              <w:jc w:val="left"/>
              <w:rPr>
                <w:color w:val="000000" w:themeColor="text1"/>
                <w:szCs w:val="24"/>
              </w:rPr>
            </w:pPr>
            <w:r>
              <w:rPr>
                <w:color w:val="000000" w:themeColor="text1"/>
                <w:szCs w:val="24"/>
              </w:rPr>
              <w:t>Pupil surveys reflect greater enjoyment and engagement in school.</w:t>
            </w:r>
          </w:p>
          <w:p w14:paraId="2FE2245A" w14:textId="77777777" w:rsidR="003F1108" w:rsidRDefault="003F1108" w:rsidP="003F1108">
            <w:pPr>
              <w:pStyle w:val="TableRowCentered"/>
              <w:jc w:val="left"/>
              <w:rPr>
                <w:color w:val="000000" w:themeColor="text1"/>
                <w:szCs w:val="24"/>
              </w:rPr>
            </w:pPr>
          </w:p>
          <w:p w14:paraId="11996CDC" w14:textId="77777777" w:rsidR="003F1108" w:rsidRDefault="003F1108" w:rsidP="003F1108">
            <w:pPr>
              <w:pStyle w:val="TableRowCentered"/>
              <w:jc w:val="left"/>
              <w:rPr>
                <w:color w:val="000000" w:themeColor="text1"/>
                <w:szCs w:val="24"/>
              </w:rPr>
            </w:pPr>
            <w:r>
              <w:rPr>
                <w:color w:val="000000" w:themeColor="text1"/>
                <w:szCs w:val="24"/>
              </w:rPr>
              <w:t>Enrichment activities offer children a context for leaning and a stimulus to trigger their interest which can be evidenced in pupil books and data.</w:t>
            </w:r>
          </w:p>
          <w:p w14:paraId="45F1F76F" w14:textId="77777777" w:rsidR="003F1108" w:rsidRDefault="003F1108" w:rsidP="003F1108">
            <w:pPr>
              <w:pStyle w:val="TableRowCentered"/>
              <w:jc w:val="left"/>
              <w:rPr>
                <w:color w:val="000000" w:themeColor="text1"/>
                <w:szCs w:val="24"/>
              </w:rPr>
            </w:pPr>
          </w:p>
          <w:p w14:paraId="6EAE2A0C" w14:textId="77777777" w:rsidR="003F1108" w:rsidRDefault="003F1108" w:rsidP="003F1108">
            <w:pPr>
              <w:pStyle w:val="TableRowCentered"/>
              <w:ind w:left="0"/>
              <w:jc w:val="left"/>
              <w:rPr>
                <w:color w:val="000000" w:themeColor="text1"/>
                <w:szCs w:val="24"/>
              </w:rPr>
            </w:pPr>
            <w:r>
              <w:rPr>
                <w:color w:val="000000" w:themeColor="text1"/>
                <w:szCs w:val="24"/>
              </w:rPr>
              <w:lastRenderedPageBreak/>
              <w:t>EEF – sports participation increases educational engagement and attainment.</w:t>
            </w:r>
          </w:p>
          <w:p w14:paraId="7EB6C44D" w14:textId="2A900E90" w:rsidR="003F1108" w:rsidRDefault="003F1108" w:rsidP="003F1108">
            <w:pPr>
              <w:pStyle w:val="TableRowCentered"/>
              <w:ind w:left="0" w:right="0"/>
              <w:jc w:val="left"/>
              <w:rPr>
                <w:sz w:val="22"/>
              </w:rPr>
            </w:pPr>
            <w:r>
              <w:rPr>
                <w:color w:val="000000" w:themeColor="text1"/>
              </w:rPr>
              <w:t>EEF – outdoor adventure learning shows positive benefits on academic learning and self -confidence.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C1B2" w14:textId="27EAEA41" w:rsidR="003F1108" w:rsidRDefault="003F1108" w:rsidP="003F1108">
            <w:pPr>
              <w:pStyle w:val="TableRowCentered"/>
              <w:ind w:left="0" w:right="0"/>
              <w:jc w:val="left"/>
              <w:rPr>
                <w:sz w:val="22"/>
              </w:rPr>
            </w:pPr>
            <w:r>
              <w:rPr>
                <w:sz w:val="22"/>
              </w:rPr>
              <w:lastRenderedPageBreak/>
              <w:t>4,5</w:t>
            </w:r>
          </w:p>
        </w:tc>
      </w:tr>
    </w:tbl>
    <w:p w14:paraId="2A7D5540" w14:textId="77777777" w:rsidR="00E66558" w:rsidRDefault="00E66558">
      <w:pPr>
        <w:spacing w:before="240" w:after="0"/>
        <w:rPr>
          <w:b/>
          <w:bCs/>
          <w:color w:val="104F75"/>
          <w:sz w:val="28"/>
          <w:szCs w:val="28"/>
        </w:rPr>
      </w:pPr>
    </w:p>
    <w:p w14:paraId="2A7D5541" w14:textId="46A24718" w:rsidR="00E66558" w:rsidRDefault="009D71E8" w:rsidP="00120AB1">
      <w:r>
        <w:rPr>
          <w:b/>
          <w:bCs/>
          <w:color w:val="104F75"/>
          <w:sz w:val="28"/>
          <w:szCs w:val="28"/>
        </w:rPr>
        <w:t xml:space="preserve">Total budgeted cost: £ </w:t>
      </w:r>
      <w:r w:rsidR="00403F54">
        <w:rPr>
          <w:i/>
          <w:iCs/>
          <w:color w:val="104F75"/>
          <w:sz w:val="28"/>
          <w:szCs w:val="28"/>
        </w:rPr>
        <w:t>200, 972</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912DE" w14:textId="77777777" w:rsidR="0064167B" w:rsidRPr="00B330DD" w:rsidRDefault="001648C8" w:rsidP="00242093">
            <w:pPr>
              <w:spacing w:before="60"/>
              <w:rPr>
                <w:i/>
                <w:iCs/>
                <w:sz w:val="20"/>
                <w:szCs w:val="20"/>
                <w:lang w:eastAsia="en-US"/>
              </w:rPr>
            </w:pPr>
            <w:r w:rsidRPr="00B330DD">
              <w:rPr>
                <w:i/>
                <w:iCs/>
                <w:sz w:val="20"/>
                <w:szCs w:val="20"/>
                <w:lang w:eastAsia="en-US"/>
              </w:rPr>
              <w:t>Data Outcomes</w:t>
            </w:r>
          </w:p>
          <w:tbl>
            <w:tblPr>
              <w:tblStyle w:val="TableGrid"/>
              <w:tblpPr w:leftFromText="180" w:rightFromText="180" w:vertAnchor="text" w:horzAnchor="margin" w:tblpY="495"/>
              <w:tblOverlap w:val="never"/>
              <w:tblW w:w="0" w:type="auto"/>
              <w:tblLook w:val="04A0" w:firstRow="1" w:lastRow="0" w:firstColumn="1" w:lastColumn="0" w:noHBand="0" w:noVBand="1"/>
            </w:tblPr>
            <w:tblGrid>
              <w:gridCol w:w="4633"/>
              <w:gridCol w:w="2623"/>
            </w:tblGrid>
            <w:tr w:rsidR="00B330DD" w:rsidRPr="00B330DD" w14:paraId="2F48E979" w14:textId="77777777" w:rsidTr="00B330DD">
              <w:tc>
                <w:tcPr>
                  <w:tcW w:w="4633" w:type="dxa"/>
                </w:tcPr>
                <w:p w14:paraId="132E7AF3" w14:textId="77777777" w:rsidR="00B330DD" w:rsidRPr="00B330DD" w:rsidRDefault="00B330DD" w:rsidP="00B330DD">
                  <w:pPr>
                    <w:spacing w:before="60"/>
                    <w:rPr>
                      <w:sz w:val="20"/>
                      <w:szCs w:val="20"/>
                      <w:lang w:eastAsia="en-US"/>
                    </w:rPr>
                  </w:pPr>
                  <w:r w:rsidRPr="00B330DD">
                    <w:rPr>
                      <w:sz w:val="20"/>
                      <w:szCs w:val="20"/>
                      <w:lang w:eastAsia="en-US"/>
                    </w:rPr>
                    <w:t>% of children achieving GLD</w:t>
                  </w:r>
                </w:p>
              </w:tc>
              <w:tc>
                <w:tcPr>
                  <w:tcW w:w="2623" w:type="dxa"/>
                </w:tcPr>
                <w:p w14:paraId="792F8687" w14:textId="77777777" w:rsidR="00B330DD" w:rsidRPr="00B330DD" w:rsidRDefault="00B330DD" w:rsidP="00B330DD">
                  <w:pPr>
                    <w:spacing w:before="60"/>
                    <w:rPr>
                      <w:sz w:val="20"/>
                      <w:szCs w:val="20"/>
                      <w:lang w:eastAsia="en-US"/>
                    </w:rPr>
                  </w:pPr>
                  <w:r w:rsidRPr="00B330DD">
                    <w:rPr>
                      <w:sz w:val="20"/>
                      <w:szCs w:val="20"/>
                      <w:lang w:eastAsia="en-US"/>
                    </w:rPr>
                    <w:t>72%</w:t>
                  </w:r>
                </w:p>
              </w:tc>
            </w:tr>
            <w:tr w:rsidR="00B330DD" w:rsidRPr="00B330DD" w14:paraId="5231C638" w14:textId="77777777" w:rsidTr="00B330DD">
              <w:tc>
                <w:tcPr>
                  <w:tcW w:w="4633" w:type="dxa"/>
                </w:tcPr>
                <w:p w14:paraId="1B318753" w14:textId="77777777" w:rsidR="00B330DD" w:rsidRPr="00B330DD" w:rsidRDefault="00B330DD" w:rsidP="00B330DD">
                  <w:pPr>
                    <w:spacing w:before="60"/>
                    <w:rPr>
                      <w:sz w:val="20"/>
                      <w:szCs w:val="20"/>
                      <w:lang w:eastAsia="en-US"/>
                    </w:rPr>
                  </w:pPr>
                  <w:r w:rsidRPr="00B330DD">
                    <w:rPr>
                      <w:sz w:val="20"/>
                      <w:szCs w:val="20"/>
                      <w:lang w:eastAsia="en-US"/>
                    </w:rPr>
                    <w:t>% of PP compared to non-PP achieving GLD</w:t>
                  </w:r>
                </w:p>
              </w:tc>
              <w:tc>
                <w:tcPr>
                  <w:tcW w:w="2623" w:type="dxa"/>
                </w:tcPr>
                <w:p w14:paraId="56212FC0" w14:textId="093ECD62" w:rsidR="00B330DD" w:rsidRPr="00B330DD" w:rsidRDefault="00770F4A" w:rsidP="00B330DD">
                  <w:pPr>
                    <w:spacing w:before="60"/>
                    <w:rPr>
                      <w:sz w:val="20"/>
                      <w:szCs w:val="20"/>
                      <w:lang w:eastAsia="en-US"/>
                    </w:rPr>
                  </w:pPr>
                  <w:r>
                    <w:rPr>
                      <w:sz w:val="20"/>
                      <w:szCs w:val="20"/>
                      <w:lang w:eastAsia="en-US"/>
                    </w:rPr>
                    <w:t>71% PP    73% Non PP</w:t>
                  </w:r>
                </w:p>
              </w:tc>
            </w:tr>
          </w:tbl>
          <w:p w14:paraId="56CB0049" w14:textId="77777777" w:rsidR="0016493E" w:rsidRDefault="0016493E" w:rsidP="00242093">
            <w:pPr>
              <w:spacing w:before="60"/>
              <w:rPr>
                <w:sz w:val="20"/>
                <w:szCs w:val="20"/>
                <w:lang w:eastAsia="en-US"/>
              </w:rPr>
            </w:pPr>
            <w:r w:rsidRPr="00B330DD">
              <w:rPr>
                <w:sz w:val="20"/>
                <w:szCs w:val="20"/>
                <w:lang w:eastAsia="en-US"/>
              </w:rPr>
              <w:t>EYFS</w:t>
            </w:r>
          </w:p>
          <w:p w14:paraId="0E7345B9" w14:textId="77777777" w:rsidR="00B330DD" w:rsidRDefault="00B330DD" w:rsidP="00242093">
            <w:pPr>
              <w:spacing w:before="60"/>
              <w:rPr>
                <w:sz w:val="20"/>
                <w:szCs w:val="20"/>
                <w:lang w:eastAsia="en-US"/>
              </w:rPr>
            </w:pPr>
          </w:p>
          <w:p w14:paraId="65D1F9EF" w14:textId="77777777" w:rsidR="00B330DD" w:rsidRDefault="00B330DD" w:rsidP="00242093">
            <w:pPr>
              <w:spacing w:before="60"/>
              <w:rPr>
                <w:sz w:val="20"/>
                <w:szCs w:val="20"/>
                <w:lang w:eastAsia="en-US"/>
              </w:rPr>
            </w:pPr>
          </w:p>
          <w:p w14:paraId="7EE1F49C" w14:textId="77777777" w:rsidR="00B330DD" w:rsidRDefault="00B330DD" w:rsidP="00242093">
            <w:pPr>
              <w:spacing w:before="60"/>
              <w:rPr>
                <w:sz w:val="20"/>
                <w:szCs w:val="20"/>
                <w:lang w:eastAsia="en-US"/>
              </w:rPr>
            </w:pPr>
          </w:p>
          <w:tbl>
            <w:tblPr>
              <w:tblStyle w:val="TableGrid"/>
              <w:tblpPr w:leftFromText="180" w:rightFromText="180" w:vertAnchor="text" w:horzAnchor="margin" w:tblpY="531"/>
              <w:tblOverlap w:val="never"/>
              <w:tblW w:w="0" w:type="auto"/>
              <w:tblLook w:val="04A0" w:firstRow="1" w:lastRow="0" w:firstColumn="1" w:lastColumn="0" w:noHBand="0" w:noVBand="1"/>
            </w:tblPr>
            <w:tblGrid>
              <w:gridCol w:w="4633"/>
              <w:gridCol w:w="2623"/>
            </w:tblGrid>
            <w:tr w:rsidR="001955DB" w:rsidRPr="00B330DD" w14:paraId="35AF6336" w14:textId="77777777" w:rsidTr="001955DB">
              <w:tc>
                <w:tcPr>
                  <w:tcW w:w="4633" w:type="dxa"/>
                </w:tcPr>
                <w:p w14:paraId="30A638A4" w14:textId="77777777" w:rsidR="001955DB" w:rsidRPr="00B330DD" w:rsidRDefault="001955DB" w:rsidP="001955DB">
                  <w:pPr>
                    <w:spacing w:before="60"/>
                    <w:rPr>
                      <w:sz w:val="20"/>
                      <w:szCs w:val="20"/>
                      <w:lang w:eastAsia="en-US"/>
                    </w:rPr>
                  </w:pPr>
                  <w:r w:rsidRPr="00B330DD">
                    <w:rPr>
                      <w:sz w:val="20"/>
                      <w:szCs w:val="20"/>
                      <w:lang w:eastAsia="en-US"/>
                    </w:rPr>
                    <w:t xml:space="preserve">% of children achieving </w:t>
                  </w:r>
                  <w:r>
                    <w:rPr>
                      <w:sz w:val="20"/>
                      <w:szCs w:val="20"/>
                      <w:lang w:eastAsia="en-US"/>
                    </w:rPr>
                    <w:t>pass rate</w:t>
                  </w:r>
                </w:p>
              </w:tc>
              <w:tc>
                <w:tcPr>
                  <w:tcW w:w="2623" w:type="dxa"/>
                </w:tcPr>
                <w:p w14:paraId="73D7B7B4" w14:textId="66B0FA3A" w:rsidR="001955DB" w:rsidRPr="00B330DD" w:rsidRDefault="00770F4A" w:rsidP="001955DB">
                  <w:pPr>
                    <w:spacing w:before="60"/>
                    <w:rPr>
                      <w:sz w:val="20"/>
                      <w:szCs w:val="20"/>
                      <w:lang w:eastAsia="en-US"/>
                    </w:rPr>
                  </w:pPr>
                  <w:r>
                    <w:rPr>
                      <w:sz w:val="20"/>
                      <w:szCs w:val="20"/>
                      <w:lang w:eastAsia="en-US"/>
                    </w:rPr>
                    <w:t>73%</w:t>
                  </w:r>
                </w:p>
              </w:tc>
            </w:tr>
            <w:tr w:rsidR="001955DB" w:rsidRPr="00B330DD" w14:paraId="2016FD6C" w14:textId="77777777" w:rsidTr="001955DB">
              <w:tc>
                <w:tcPr>
                  <w:tcW w:w="4633" w:type="dxa"/>
                </w:tcPr>
                <w:p w14:paraId="247DDAF9" w14:textId="16ADCD89" w:rsidR="001955DB" w:rsidRPr="00B330DD" w:rsidRDefault="001955DB" w:rsidP="001955DB">
                  <w:pPr>
                    <w:spacing w:before="60"/>
                    <w:rPr>
                      <w:sz w:val="20"/>
                      <w:szCs w:val="20"/>
                      <w:lang w:eastAsia="en-US"/>
                    </w:rPr>
                  </w:pPr>
                  <w:r w:rsidRPr="00B330DD">
                    <w:rPr>
                      <w:sz w:val="20"/>
                      <w:szCs w:val="20"/>
                      <w:lang w:eastAsia="en-US"/>
                    </w:rPr>
                    <w:t xml:space="preserve">% of PP compared to non-PP achieving </w:t>
                  </w:r>
                  <w:r>
                    <w:rPr>
                      <w:sz w:val="20"/>
                      <w:szCs w:val="20"/>
                      <w:lang w:eastAsia="en-US"/>
                    </w:rPr>
                    <w:t>pass rate</w:t>
                  </w:r>
                </w:p>
              </w:tc>
              <w:tc>
                <w:tcPr>
                  <w:tcW w:w="2623" w:type="dxa"/>
                </w:tcPr>
                <w:p w14:paraId="0B463975" w14:textId="61E33A0F" w:rsidR="00770F4A" w:rsidRPr="00B330DD" w:rsidRDefault="00770F4A" w:rsidP="001955DB">
                  <w:pPr>
                    <w:spacing w:before="60"/>
                    <w:rPr>
                      <w:sz w:val="20"/>
                      <w:szCs w:val="20"/>
                      <w:lang w:eastAsia="en-US"/>
                    </w:rPr>
                  </w:pPr>
                  <w:r>
                    <w:rPr>
                      <w:sz w:val="20"/>
                      <w:szCs w:val="20"/>
                      <w:lang w:eastAsia="en-US"/>
                    </w:rPr>
                    <w:t>54% PP      79% Non PP</w:t>
                  </w:r>
                </w:p>
              </w:tc>
            </w:tr>
          </w:tbl>
          <w:p w14:paraId="5A62B4D9" w14:textId="0C88675A" w:rsidR="00B330DD" w:rsidRDefault="00B330DD" w:rsidP="00242093">
            <w:pPr>
              <w:spacing w:before="60"/>
              <w:rPr>
                <w:sz w:val="20"/>
                <w:szCs w:val="20"/>
                <w:lang w:eastAsia="en-US"/>
              </w:rPr>
            </w:pPr>
            <w:r>
              <w:rPr>
                <w:sz w:val="20"/>
                <w:szCs w:val="20"/>
                <w:lang w:eastAsia="en-US"/>
              </w:rPr>
              <w:t>Key Stage One</w:t>
            </w:r>
            <w:r w:rsidR="001955DB">
              <w:rPr>
                <w:sz w:val="20"/>
                <w:szCs w:val="20"/>
                <w:lang w:eastAsia="en-US"/>
              </w:rPr>
              <w:t xml:space="preserve"> Phonics Screening</w:t>
            </w:r>
          </w:p>
          <w:p w14:paraId="781B36A6" w14:textId="77777777" w:rsidR="001955DB" w:rsidRDefault="001955DB" w:rsidP="00242093">
            <w:pPr>
              <w:spacing w:before="60"/>
              <w:rPr>
                <w:sz w:val="20"/>
                <w:szCs w:val="20"/>
                <w:lang w:eastAsia="en-US"/>
              </w:rPr>
            </w:pPr>
          </w:p>
          <w:p w14:paraId="441381C5" w14:textId="77777777" w:rsidR="001955DB" w:rsidRDefault="001955DB" w:rsidP="00242093">
            <w:pPr>
              <w:spacing w:before="60"/>
              <w:rPr>
                <w:sz w:val="20"/>
                <w:szCs w:val="20"/>
                <w:lang w:eastAsia="en-US"/>
              </w:rPr>
            </w:pPr>
          </w:p>
          <w:p w14:paraId="5E1F3CD2" w14:textId="77777777" w:rsidR="001955DB" w:rsidRDefault="001955DB" w:rsidP="00242093">
            <w:pPr>
              <w:spacing w:before="60"/>
              <w:rPr>
                <w:sz w:val="20"/>
                <w:szCs w:val="20"/>
                <w:lang w:eastAsia="en-US"/>
              </w:rPr>
            </w:pPr>
          </w:p>
          <w:p w14:paraId="63F8DDC8" w14:textId="040BBA4A" w:rsidR="001955DB" w:rsidRDefault="001955DB" w:rsidP="00242093">
            <w:pPr>
              <w:spacing w:before="60"/>
              <w:rPr>
                <w:sz w:val="20"/>
                <w:szCs w:val="20"/>
                <w:lang w:eastAsia="en-US"/>
              </w:rPr>
            </w:pPr>
            <w:r>
              <w:rPr>
                <w:sz w:val="20"/>
                <w:szCs w:val="20"/>
                <w:lang w:eastAsia="en-US"/>
              </w:rPr>
              <w:t>Key stage One</w:t>
            </w:r>
          </w:p>
          <w:tbl>
            <w:tblPr>
              <w:tblStyle w:val="TableGrid"/>
              <w:tblW w:w="0" w:type="auto"/>
              <w:tblLook w:val="04A0" w:firstRow="1" w:lastRow="0" w:firstColumn="1" w:lastColumn="0" w:noHBand="0" w:noVBand="1"/>
            </w:tblPr>
            <w:tblGrid>
              <w:gridCol w:w="1544"/>
              <w:gridCol w:w="1544"/>
              <w:gridCol w:w="1544"/>
              <w:gridCol w:w="1545"/>
              <w:gridCol w:w="1545"/>
              <w:gridCol w:w="1545"/>
            </w:tblGrid>
            <w:tr w:rsidR="007173AC" w14:paraId="5464705E" w14:textId="77777777" w:rsidTr="007173AC">
              <w:tc>
                <w:tcPr>
                  <w:tcW w:w="1544" w:type="dxa"/>
                </w:tcPr>
                <w:p w14:paraId="3E513AB3" w14:textId="1C424056" w:rsidR="007173AC" w:rsidRDefault="007173AC" w:rsidP="00242093">
                  <w:pPr>
                    <w:spacing w:before="60"/>
                    <w:rPr>
                      <w:sz w:val="20"/>
                      <w:szCs w:val="20"/>
                      <w:lang w:eastAsia="en-US"/>
                    </w:rPr>
                  </w:pPr>
                  <w:r>
                    <w:rPr>
                      <w:sz w:val="20"/>
                      <w:szCs w:val="20"/>
                      <w:lang w:eastAsia="en-US"/>
                    </w:rPr>
                    <w:t>Reading ARE+</w:t>
                  </w:r>
                </w:p>
              </w:tc>
              <w:tc>
                <w:tcPr>
                  <w:tcW w:w="1544" w:type="dxa"/>
                </w:tcPr>
                <w:p w14:paraId="4D45BFB1" w14:textId="4515440D" w:rsidR="007173AC" w:rsidRDefault="007173AC" w:rsidP="00242093">
                  <w:pPr>
                    <w:spacing w:before="60"/>
                    <w:rPr>
                      <w:sz w:val="20"/>
                      <w:szCs w:val="20"/>
                      <w:lang w:eastAsia="en-US"/>
                    </w:rPr>
                  </w:pPr>
                  <w:r>
                    <w:rPr>
                      <w:sz w:val="20"/>
                      <w:szCs w:val="20"/>
                      <w:lang w:eastAsia="en-US"/>
                    </w:rPr>
                    <w:t>Reading GDS</w:t>
                  </w:r>
                </w:p>
              </w:tc>
              <w:tc>
                <w:tcPr>
                  <w:tcW w:w="1544" w:type="dxa"/>
                </w:tcPr>
                <w:p w14:paraId="07D7BAE7" w14:textId="3FF94AB4" w:rsidR="007173AC" w:rsidRDefault="007173AC" w:rsidP="00242093">
                  <w:pPr>
                    <w:spacing w:before="60"/>
                    <w:rPr>
                      <w:sz w:val="20"/>
                      <w:szCs w:val="20"/>
                      <w:lang w:eastAsia="en-US"/>
                    </w:rPr>
                  </w:pPr>
                  <w:r>
                    <w:rPr>
                      <w:sz w:val="20"/>
                      <w:szCs w:val="20"/>
                      <w:lang w:eastAsia="en-US"/>
                    </w:rPr>
                    <w:t>Writing ARE+</w:t>
                  </w:r>
                </w:p>
              </w:tc>
              <w:tc>
                <w:tcPr>
                  <w:tcW w:w="1545" w:type="dxa"/>
                </w:tcPr>
                <w:p w14:paraId="7A29DBF9" w14:textId="6D4F6A18" w:rsidR="007173AC" w:rsidRDefault="007173AC" w:rsidP="00242093">
                  <w:pPr>
                    <w:spacing w:before="60"/>
                    <w:rPr>
                      <w:sz w:val="20"/>
                      <w:szCs w:val="20"/>
                      <w:lang w:eastAsia="en-US"/>
                    </w:rPr>
                  </w:pPr>
                  <w:r>
                    <w:rPr>
                      <w:sz w:val="20"/>
                      <w:szCs w:val="20"/>
                      <w:lang w:eastAsia="en-US"/>
                    </w:rPr>
                    <w:t>Writing GDS</w:t>
                  </w:r>
                </w:p>
              </w:tc>
              <w:tc>
                <w:tcPr>
                  <w:tcW w:w="1545" w:type="dxa"/>
                </w:tcPr>
                <w:p w14:paraId="32E8D82B" w14:textId="73C08549" w:rsidR="007173AC" w:rsidRDefault="007173AC" w:rsidP="00242093">
                  <w:pPr>
                    <w:spacing w:before="60"/>
                    <w:rPr>
                      <w:sz w:val="20"/>
                      <w:szCs w:val="20"/>
                      <w:lang w:eastAsia="en-US"/>
                    </w:rPr>
                  </w:pPr>
                  <w:r>
                    <w:rPr>
                      <w:sz w:val="20"/>
                      <w:szCs w:val="20"/>
                      <w:lang w:eastAsia="en-US"/>
                    </w:rPr>
                    <w:t>Maths ARE+</w:t>
                  </w:r>
                </w:p>
              </w:tc>
              <w:tc>
                <w:tcPr>
                  <w:tcW w:w="1545" w:type="dxa"/>
                </w:tcPr>
                <w:p w14:paraId="29B9B513" w14:textId="7A7927BE" w:rsidR="007173AC" w:rsidRDefault="007173AC" w:rsidP="00242093">
                  <w:pPr>
                    <w:spacing w:before="60"/>
                    <w:rPr>
                      <w:sz w:val="20"/>
                      <w:szCs w:val="20"/>
                      <w:lang w:eastAsia="en-US"/>
                    </w:rPr>
                  </w:pPr>
                  <w:r>
                    <w:rPr>
                      <w:sz w:val="20"/>
                      <w:szCs w:val="20"/>
                      <w:lang w:eastAsia="en-US"/>
                    </w:rPr>
                    <w:t>Maths GDS</w:t>
                  </w:r>
                </w:p>
              </w:tc>
            </w:tr>
            <w:tr w:rsidR="007173AC" w14:paraId="6475F878" w14:textId="77777777" w:rsidTr="007173AC">
              <w:tc>
                <w:tcPr>
                  <w:tcW w:w="1544" w:type="dxa"/>
                </w:tcPr>
                <w:p w14:paraId="2D5F5F66" w14:textId="77777777" w:rsidR="007173AC" w:rsidRDefault="007173AC" w:rsidP="00242093">
                  <w:pPr>
                    <w:spacing w:before="60"/>
                    <w:rPr>
                      <w:sz w:val="20"/>
                      <w:szCs w:val="20"/>
                      <w:lang w:eastAsia="en-US"/>
                    </w:rPr>
                  </w:pPr>
                  <w:r>
                    <w:rPr>
                      <w:sz w:val="20"/>
                      <w:szCs w:val="20"/>
                      <w:lang w:eastAsia="en-US"/>
                    </w:rPr>
                    <w:t xml:space="preserve">All: </w:t>
                  </w:r>
                  <w:r w:rsidR="00DC311E">
                    <w:rPr>
                      <w:sz w:val="20"/>
                      <w:szCs w:val="20"/>
                      <w:lang w:eastAsia="en-US"/>
                    </w:rPr>
                    <w:t>70%</w:t>
                  </w:r>
                </w:p>
                <w:p w14:paraId="464CCC7A" w14:textId="5D99B127" w:rsidR="00DC311E" w:rsidRDefault="00DC311E" w:rsidP="00242093">
                  <w:pPr>
                    <w:spacing w:before="60"/>
                    <w:rPr>
                      <w:sz w:val="20"/>
                      <w:szCs w:val="20"/>
                      <w:lang w:eastAsia="en-US"/>
                    </w:rPr>
                  </w:pPr>
                  <w:r>
                    <w:rPr>
                      <w:sz w:val="20"/>
                      <w:szCs w:val="20"/>
                      <w:lang w:eastAsia="en-US"/>
                    </w:rPr>
                    <w:t>PP:</w:t>
                  </w:r>
                  <w:r w:rsidR="00064502">
                    <w:rPr>
                      <w:sz w:val="20"/>
                      <w:szCs w:val="20"/>
                      <w:lang w:eastAsia="en-US"/>
                    </w:rPr>
                    <w:t xml:space="preserve"> 55%</w:t>
                  </w:r>
                </w:p>
                <w:p w14:paraId="4E83D435" w14:textId="77777777" w:rsidR="00DC311E" w:rsidRDefault="00DC311E" w:rsidP="00242093">
                  <w:pPr>
                    <w:spacing w:before="60"/>
                    <w:rPr>
                      <w:sz w:val="20"/>
                      <w:szCs w:val="20"/>
                      <w:lang w:eastAsia="en-US"/>
                    </w:rPr>
                  </w:pPr>
                  <w:r>
                    <w:rPr>
                      <w:sz w:val="20"/>
                      <w:szCs w:val="20"/>
                      <w:lang w:eastAsia="en-US"/>
                    </w:rPr>
                    <w:t>Non-PP:</w:t>
                  </w:r>
                  <w:r w:rsidR="00064502">
                    <w:rPr>
                      <w:sz w:val="20"/>
                      <w:szCs w:val="20"/>
                      <w:lang w:eastAsia="en-US"/>
                    </w:rPr>
                    <w:t xml:space="preserve"> 78%</w:t>
                  </w:r>
                </w:p>
                <w:p w14:paraId="2C37B784" w14:textId="53C2FC85" w:rsidR="00064502" w:rsidRDefault="0083292D" w:rsidP="00242093">
                  <w:pPr>
                    <w:spacing w:before="60"/>
                    <w:rPr>
                      <w:sz w:val="20"/>
                      <w:szCs w:val="20"/>
                      <w:lang w:eastAsia="en-US"/>
                    </w:rPr>
                  </w:pPr>
                  <w:r>
                    <w:rPr>
                      <w:sz w:val="20"/>
                      <w:szCs w:val="20"/>
                      <w:lang w:eastAsia="en-US"/>
                    </w:rPr>
                    <w:t>PP 5% higher than previous year</w:t>
                  </w:r>
                  <w:r w:rsidR="0011604B">
                    <w:rPr>
                      <w:sz w:val="20"/>
                      <w:szCs w:val="20"/>
                      <w:lang w:eastAsia="en-US"/>
                    </w:rPr>
                    <w:t xml:space="preserve"> and gap has reduced by 5%</w:t>
                  </w:r>
                </w:p>
              </w:tc>
              <w:tc>
                <w:tcPr>
                  <w:tcW w:w="1544" w:type="dxa"/>
                </w:tcPr>
                <w:p w14:paraId="239C522B" w14:textId="77777777" w:rsidR="0011604B" w:rsidRDefault="004370C2" w:rsidP="00BA4B58">
                  <w:pPr>
                    <w:spacing w:before="60"/>
                    <w:rPr>
                      <w:sz w:val="20"/>
                      <w:szCs w:val="20"/>
                      <w:lang w:eastAsia="en-US"/>
                    </w:rPr>
                  </w:pPr>
                  <w:r>
                    <w:rPr>
                      <w:sz w:val="20"/>
                      <w:szCs w:val="20"/>
                      <w:lang w:eastAsia="en-US"/>
                    </w:rPr>
                    <w:t>All: 22%</w:t>
                  </w:r>
                </w:p>
                <w:p w14:paraId="37195B72" w14:textId="77777777" w:rsidR="004370C2" w:rsidRDefault="004370C2" w:rsidP="00BA4B58">
                  <w:pPr>
                    <w:spacing w:before="60"/>
                    <w:rPr>
                      <w:sz w:val="20"/>
                      <w:szCs w:val="20"/>
                      <w:lang w:eastAsia="en-US"/>
                    </w:rPr>
                  </w:pPr>
                  <w:r>
                    <w:rPr>
                      <w:sz w:val="20"/>
                      <w:szCs w:val="20"/>
                      <w:lang w:eastAsia="en-US"/>
                    </w:rPr>
                    <w:t>PP: 15%</w:t>
                  </w:r>
                </w:p>
                <w:p w14:paraId="7BF29C7D" w14:textId="77777777" w:rsidR="004370C2" w:rsidRDefault="004370C2" w:rsidP="00BA4B58">
                  <w:pPr>
                    <w:spacing w:before="60"/>
                    <w:rPr>
                      <w:sz w:val="20"/>
                      <w:szCs w:val="20"/>
                      <w:lang w:eastAsia="en-US"/>
                    </w:rPr>
                  </w:pPr>
                  <w:r>
                    <w:rPr>
                      <w:sz w:val="20"/>
                      <w:szCs w:val="20"/>
                      <w:lang w:eastAsia="en-US"/>
                    </w:rPr>
                    <w:t>Non-PP: 26%</w:t>
                  </w:r>
                </w:p>
                <w:p w14:paraId="708815F9" w14:textId="316C9DCA" w:rsidR="004370C2" w:rsidRDefault="004370C2" w:rsidP="00BA4B58">
                  <w:pPr>
                    <w:spacing w:before="60"/>
                    <w:rPr>
                      <w:sz w:val="20"/>
                      <w:szCs w:val="20"/>
                      <w:lang w:eastAsia="en-US"/>
                    </w:rPr>
                  </w:pPr>
                  <w:r>
                    <w:rPr>
                      <w:sz w:val="20"/>
                      <w:szCs w:val="20"/>
                      <w:lang w:eastAsia="en-US"/>
                    </w:rPr>
                    <w:t>PP gap 15% higher than previous year</w:t>
                  </w:r>
                  <w:r w:rsidR="00814254">
                    <w:rPr>
                      <w:sz w:val="20"/>
                      <w:szCs w:val="20"/>
                      <w:lang w:eastAsia="en-US"/>
                    </w:rPr>
                    <w:t xml:space="preserve"> and gap has reduced by 9%.</w:t>
                  </w:r>
                </w:p>
              </w:tc>
              <w:tc>
                <w:tcPr>
                  <w:tcW w:w="1544" w:type="dxa"/>
                </w:tcPr>
                <w:p w14:paraId="7C7904C2" w14:textId="77777777" w:rsidR="00BA4B58" w:rsidRDefault="00BA4B58" w:rsidP="00BA4B58">
                  <w:pPr>
                    <w:spacing w:before="60"/>
                    <w:rPr>
                      <w:sz w:val="20"/>
                      <w:szCs w:val="20"/>
                      <w:lang w:eastAsia="en-US"/>
                    </w:rPr>
                  </w:pPr>
                  <w:r>
                    <w:rPr>
                      <w:sz w:val="20"/>
                      <w:szCs w:val="20"/>
                      <w:lang w:eastAsia="en-US"/>
                    </w:rPr>
                    <w:t>All: 70%</w:t>
                  </w:r>
                </w:p>
                <w:p w14:paraId="49B88C4C" w14:textId="77777777" w:rsidR="00BA4B58" w:rsidRDefault="00BA4B58" w:rsidP="00BA4B58">
                  <w:pPr>
                    <w:spacing w:before="60"/>
                    <w:rPr>
                      <w:sz w:val="20"/>
                      <w:szCs w:val="20"/>
                      <w:lang w:eastAsia="en-US"/>
                    </w:rPr>
                  </w:pPr>
                  <w:r>
                    <w:rPr>
                      <w:sz w:val="20"/>
                      <w:szCs w:val="20"/>
                      <w:lang w:eastAsia="en-US"/>
                    </w:rPr>
                    <w:t>PP: 55%</w:t>
                  </w:r>
                </w:p>
                <w:p w14:paraId="47EB2955" w14:textId="77777777" w:rsidR="00BA4B58" w:rsidRDefault="00BA4B58" w:rsidP="00BA4B58">
                  <w:pPr>
                    <w:spacing w:before="60"/>
                    <w:rPr>
                      <w:sz w:val="20"/>
                      <w:szCs w:val="20"/>
                      <w:lang w:eastAsia="en-US"/>
                    </w:rPr>
                  </w:pPr>
                  <w:r>
                    <w:rPr>
                      <w:sz w:val="20"/>
                      <w:szCs w:val="20"/>
                      <w:lang w:eastAsia="en-US"/>
                    </w:rPr>
                    <w:t>Non-PP: 78%</w:t>
                  </w:r>
                </w:p>
                <w:p w14:paraId="239D8709" w14:textId="0EFFC4A0" w:rsidR="00BA4B58" w:rsidRDefault="00BA4B58" w:rsidP="00BA4B58">
                  <w:pPr>
                    <w:spacing w:before="60"/>
                    <w:rPr>
                      <w:sz w:val="20"/>
                      <w:szCs w:val="20"/>
                      <w:lang w:eastAsia="en-US"/>
                    </w:rPr>
                  </w:pPr>
                  <w:r>
                    <w:rPr>
                      <w:sz w:val="20"/>
                      <w:szCs w:val="20"/>
                      <w:lang w:eastAsia="en-US"/>
                    </w:rPr>
                    <w:t xml:space="preserve">PP </w:t>
                  </w:r>
                  <w:r w:rsidR="00F87529">
                    <w:rPr>
                      <w:sz w:val="20"/>
                      <w:szCs w:val="20"/>
                      <w:lang w:eastAsia="en-US"/>
                    </w:rPr>
                    <w:t>26% higher than previous year</w:t>
                  </w:r>
                  <w:r w:rsidR="00AD330D">
                    <w:rPr>
                      <w:sz w:val="20"/>
                      <w:szCs w:val="20"/>
                      <w:lang w:eastAsia="en-US"/>
                    </w:rPr>
                    <w:t xml:space="preserve"> and gap has reduced by 21%.</w:t>
                  </w:r>
                </w:p>
                <w:p w14:paraId="2FBFD530" w14:textId="20A3607D" w:rsidR="007173AC" w:rsidRDefault="007173AC" w:rsidP="00242093">
                  <w:pPr>
                    <w:spacing w:before="60"/>
                    <w:rPr>
                      <w:sz w:val="20"/>
                      <w:szCs w:val="20"/>
                      <w:lang w:eastAsia="en-US"/>
                    </w:rPr>
                  </w:pPr>
                </w:p>
              </w:tc>
              <w:tc>
                <w:tcPr>
                  <w:tcW w:w="1545" w:type="dxa"/>
                </w:tcPr>
                <w:p w14:paraId="10134EB3" w14:textId="77777777" w:rsidR="007173AC" w:rsidRDefault="00FD3D15" w:rsidP="00242093">
                  <w:pPr>
                    <w:spacing w:before="60"/>
                    <w:rPr>
                      <w:sz w:val="20"/>
                      <w:szCs w:val="20"/>
                      <w:lang w:eastAsia="en-US"/>
                    </w:rPr>
                  </w:pPr>
                  <w:r>
                    <w:rPr>
                      <w:sz w:val="20"/>
                      <w:szCs w:val="20"/>
                      <w:lang w:eastAsia="en-US"/>
                    </w:rPr>
                    <w:t>All: 10%</w:t>
                  </w:r>
                </w:p>
                <w:p w14:paraId="44C39AEF" w14:textId="77777777" w:rsidR="00FD3D15" w:rsidRDefault="00FD3D15" w:rsidP="00242093">
                  <w:pPr>
                    <w:spacing w:before="60"/>
                    <w:rPr>
                      <w:sz w:val="20"/>
                      <w:szCs w:val="20"/>
                      <w:lang w:eastAsia="en-US"/>
                    </w:rPr>
                  </w:pPr>
                  <w:r>
                    <w:rPr>
                      <w:sz w:val="20"/>
                      <w:szCs w:val="20"/>
                      <w:lang w:eastAsia="en-US"/>
                    </w:rPr>
                    <w:t>PP: 5%</w:t>
                  </w:r>
                </w:p>
                <w:p w14:paraId="45D6F51A" w14:textId="77777777" w:rsidR="00FD3D15" w:rsidRDefault="00FD3D15" w:rsidP="00242093">
                  <w:pPr>
                    <w:spacing w:before="60"/>
                    <w:rPr>
                      <w:sz w:val="20"/>
                      <w:szCs w:val="20"/>
                      <w:lang w:eastAsia="en-US"/>
                    </w:rPr>
                  </w:pPr>
                  <w:r>
                    <w:rPr>
                      <w:sz w:val="20"/>
                      <w:szCs w:val="20"/>
                      <w:lang w:eastAsia="en-US"/>
                    </w:rPr>
                    <w:t>Non-pp: 13%</w:t>
                  </w:r>
                </w:p>
                <w:p w14:paraId="6D626348" w14:textId="52DC046D" w:rsidR="00FD3D15" w:rsidRDefault="00D0314A" w:rsidP="00242093">
                  <w:pPr>
                    <w:spacing w:before="60"/>
                    <w:rPr>
                      <w:sz w:val="20"/>
                      <w:szCs w:val="20"/>
                      <w:lang w:eastAsia="en-US"/>
                    </w:rPr>
                  </w:pPr>
                  <w:r>
                    <w:rPr>
                      <w:sz w:val="20"/>
                      <w:szCs w:val="20"/>
                      <w:lang w:eastAsia="en-US"/>
                    </w:rPr>
                    <w:t>PP 5% higher than previous year</w:t>
                  </w:r>
                  <w:r w:rsidR="009D4434">
                    <w:rPr>
                      <w:sz w:val="20"/>
                      <w:szCs w:val="20"/>
                      <w:lang w:eastAsia="en-US"/>
                    </w:rPr>
                    <w:t xml:space="preserve"> and gap has increased by 1% but more PP pupils are achieving GDS.</w:t>
                  </w:r>
                </w:p>
              </w:tc>
              <w:tc>
                <w:tcPr>
                  <w:tcW w:w="1545" w:type="dxa"/>
                </w:tcPr>
                <w:p w14:paraId="3AA017F3" w14:textId="77777777" w:rsidR="007173AC" w:rsidRDefault="00AC48CA" w:rsidP="00242093">
                  <w:pPr>
                    <w:spacing w:before="60"/>
                    <w:rPr>
                      <w:sz w:val="20"/>
                      <w:szCs w:val="20"/>
                      <w:lang w:eastAsia="en-US"/>
                    </w:rPr>
                  </w:pPr>
                  <w:r>
                    <w:rPr>
                      <w:sz w:val="20"/>
                      <w:szCs w:val="20"/>
                      <w:lang w:eastAsia="en-US"/>
                    </w:rPr>
                    <w:t>All: 70%</w:t>
                  </w:r>
                </w:p>
                <w:p w14:paraId="0015B285" w14:textId="77777777" w:rsidR="00AC48CA" w:rsidRDefault="00AC48CA" w:rsidP="00242093">
                  <w:pPr>
                    <w:spacing w:before="60"/>
                    <w:rPr>
                      <w:sz w:val="20"/>
                      <w:szCs w:val="20"/>
                      <w:lang w:eastAsia="en-US"/>
                    </w:rPr>
                  </w:pPr>
                  <w:r>
                    <w:rPr>
                      <w:sz w:val="20"/>
                      <w:szCs w:val="20"/>
                      <w:lang w:eastAsia="en-US"/>
                    </w:rPr>
                    <w:t>PP: 50%</w:t>
                  </w:r>
                </w:p>
                <w:p w14:paraId="47B91A6F" w14:textId="77777777" w:rsidR="00AC48CA" w:rsidRDefault="00AC48CA" w:rsidP="00242093">
                  <w:pPr>
                    <w:spacing w:before="60"/>
                    <w:rPr>
                      <w:sz w:val="20"/>
                      <w:szCs w:val="20"/>
                      <w:lang w:eastAsia="en-US"/>
                    </w:rPr>
                  </w:pPr>
                  <w:r>
                    <w:rPr>
                      <w:sz w:val="20"/>
                      <w:szCs w:val="20"/>
                      <w:lang w:eastAsia="en-US"/>
                    </w:rPr>
                    <w:t>Non-PP: 80%</w:t>
                  </w:r>
                </w:p>
                <w:p w14:paraId="7287C0FB" w14:textId="76B00658" w:rsidR="00AC48CA" w:rsidRDefault="00170586" w:rsidP="00242093">
                  <w:pPr>
                    <w:spacing w:before="60"/>
                    <w:rPr>
                      <w:sz w:val="20"/>
                      <w:szCs w:val="20"/>
                      <w:lang w:eastAsia="en-US"/>
                    </w:rPr>
                  </w:pPr>
                  <w:r>
                    <w:rPr>
                      <w:sz w:val="20"/>
                      <w:szCs w:val="20"/>
                      <w:lang w:eastAsia="en-US"/>
                    </w:rPr>
                    <w:t>PP has remained the same as previous year and gap has widened by 2%.</w:t>
                  </w:r>
                </w:p>
              </w:tc>
              <w:tc>
                <w:tcPr>
                  <w:tcW w:w="1545" w:type="dxa"/>
                </w:tcPr>
                <w:p w14:paraId="7958981E" w14:textId="77777777" w:rsidR="007173AC" w:rsidRDefault="002D7799" w:rsidP="00242093">
                  <w:pPr>
                    <w:spacing w:before="60"/>
                    <w:rPr>
                      <w:sz w:val="20"/>
                      <w:szCs w:val="20"/>
                      <w:lang w:eastAsia="en-US"/>
                    </w:rPr>
                  </w:pPr>
                  <w:r>
                    <w:rPr>
                      <w:sz w:val="20"/>
                      <w:szCs w:val="20"/>
                      <w:lang w:eastAsia="en-US"/>
                    </w:rPr>
                    <w:t>All: 20%</w:t>
                  </w:r>
                </w:p>
                <w:p w14:paraId="4AE39F03" w14:textId="77777777" w:rsidR="002D7799" w:rsidRDefault="002D7799" w:rsidP="00242093">
                  <w:pPr>
                    <w:spacing w:before="60"/>
                    <w:rPr>
                      <w:sz w:val="20"/>
                      <w:szCs w:val="20"/>
                      <w:lang w:eastAsia="en-US"/>
                    </w:rPr>
                  </w:pPr>
                  <w:r>
                    <w:rPr>
                      <w:sz w:val="20"/>
                      <w:szCs w:val="20"/>
                      <w:lang w:eastAsia="en-US"/>
                    </w:rPr>
                    <w:t>PP: 15%</w:t>
                  </w:r>
                </w:p>
                <w:p w14:paraId="4702FAAA" w14:textId="77777777" w:rsidR="002D7799" w:rsidRDefault="002D7799" w:rsidP="00242093">
                  <w:pPr>
                    <w:spacing w:before="60"/>
                    <w:rPr>
                      <w:sz w:val="20"/>
                      <w:szCs w:val="20"/>
                      <w:lang w:eastAsia="en-US"/>
                    </w:rPr>
                  </w:pPr>
                  <w:r>
                    <w:rPr>
                      <w:sz w:val="20"/>
                      <w:szCs w:val="20"/>
                      <w:lang w:eastAsia="en-US"/>
                    </w:rPr>
                    <w:t>Non-PP: 23%</w:t>
                  </w:r>
                </w:p>
                <w:p w14:paraId="5D0358E4" w14:textId="7CE17889" w:rsidR="002D7799" w:rsidRDefault="002D7799" w:rsidP="00242093">
                  <w:pPr>
                    <w:spacing w:before="60"/>
                    <w:rPr>
                      <w:sz w:val="20"/>
                      <w:szCs w:val="20"/>
                      <w:lang w:eastAsia="en-US"/>
                    </w:rPr>
                  </w:pPr>
                  <w:r>
                    <w:rPr>
                      <w:sz w:val="20"/>
                      <w:szCs w:val="20"/>
                      <w:lang w:eastAsia="en-US"/>
                    </w:rPr>
                    <w:t xml:space="preserve">PP 15% higher than previous year and gap has reduced by </w:t>
                  </w:r>
                  <w:r w:rsidR="00797C96">
                    <w:rPr>
                      <w:sz w:val="20"/>
                      <w:szCs w:val="20"/>
                      <w:lang w:eastAsia="en-US"/>
                    </w:rPr>
                    <w:t>12%.</w:t>
                  </w:r>
                </w:p>
              </w:tc>
            </w:tr>
          </w:tbl>
          <w:p w14:paraId="149B7A1C" w14:textId="77777777" w:rsidR="001955DB" w:rsidRDefault="001955DB" w:rsidP="00242093">
            <w:pPr>
              <w:spacing w:before="60"/>
              <w:rPr>
                <w:sz w:val="20"/>
                <w:szCs w:val="20"/>
                <w:lang w:eastAsia="en-US"/>
              </w:rPr>
            </w:pPr>
          </w:p>
          <w:p w14:paraId="78D31EC1" w14:textId="29A3809B" w:rsidR="00797C96" w:rsidRDefault="00797C96" w:rsidP="00242093">
            <w:pPr>
              <w:spacing w:before="60"/>
              <w:rPr>
                <w:sz w:val="20"/>
                <w:szCs w:val="20"/>
                <w:lang w:eastAsia="en-US"/>
              </w:rPr>
            </w:pPr>
            <w:r>
              <w:rPr>
                <w:sz w:val="20"/>
                <w:szCs w:val="20"/>
                <w:lang w:eastAsia="en-US"/>
              </w:rPr>
              <w:t>Key Stage Two</w:t>
            </w:r>
          </w:p>
          <w:tbl>
            <w:tblPr>
              <w:tblStyle w:val="TableGrid"/>
              <w:tblW w:w="0" w:type="auto"/>
              <w:tblLook w:val="04A0" w:firstRow="1" w:lastRow="0" w:firstColumn="1" w:lastColumn="0" w:noHBand="0" w:noVBand="1"/>
            </w:tblPr>
            <w:tblGrid>
              <w:gridCol w:w="1544"/>
              <w:gridCol w:w="1544"/>
              <w:gridCol w:w="1544"/>
              <w:gridCol w:w="1545"/>
              <w:gridCol w:w="1545"/>
              <w:gridCol w:w="1545"/>
            </w:tblGrid>
            <w:tr w:rsidR="00797C96" w14:paraId="0F6ED4E0" w14:textId="77777777" w:rsidTr="000832D9">
              <w:tc>
                <w:tcPr>
                  <w:tcW w:w="1544" w:type="dxa"/>
                </w:tcPr>
                <w:p w14:paraId="17C88A17" w14:textId="77777777" w:rsidR="00797C96" w:rsidRDefault="00797C96" w:rsidP="00797C96">
                  <w:pPr>
                    <w:spacing w:before="60"/>
                    <w:rPr>
                      <w:sz w:val="20"/>
                      <w:szCs w:val="20"/>
                      <w:lang w:eastAsia="en-US"/>
                    </w:rPr>
                  </w:pPr>
                  <w:r>
                    <w:rPr>
                      <w:sz w:val="20"/>
                      <w:szCs w:val="20"/>
                      <w:lang w:eastAsia="en-US"/>
                    </w:rPr>
                    <w:t>Reading ARE+</w:t>
                  </w:r>
                </w:p>
              </w:tc>
              <w:tc>
                <w:tcPr>
                  <w:tcW w:w="1544" w:type="dxa"/>
                </w:tcPr>
                <w:p w14:paraId="03665B51" w14:textId="77777777" w:rsidR="00797C96" w:rsidRDefault="00797C96" w:rsidP="00797C96">
                  <w:pPr>
                    <w:spacing w:before="60"/>
                    <w:rPr>
                      <w:sz w:val="20"/>
                      <w:szCs w:val="20"/>
                      <w:lang w:eastAsia="en-US"/>
                    </w:rPr>
                  </w:pPr>
                  <w:r>
                    <w:rPr>
                      <w:sz w:val="20"/>
                      <w:szCs w:val="20"/>
                      <w:lang w:eastAsia="en-US"/>
                    </w:rPr>
                    <w:t>Reading GDS</w:t>
                  </w:r>
                </w:p>
              </w:tc>
              <w:tc>
                <w:tcPr>
                  <w:tcW w:w="1544" w:type="dxa"/>
                </w:tcPr>
                <w:p w14:paraId="08C9E66E" w14:textId="77777777" w:rsidR="00797C96" w:rsidRDefault="00797C96" w:rsidP="00797C96">
                  <w:pPr>
                    <w:spacing w:before="60"/>
                    <w:rPr>
                      <w:sz w:val="20"/>
                      <w:szCs w:val="20"/>
                      <w:lang w:eastAsia="en-US"/>
                    </w:rPr>
                  </w:pPr>
                  <w:r>
                    <w:rPr>
                      <w:sz w:val="20"/>
                      <w:szCs w:val="20"/>
                      <w:lang w:eastAsia="en-US"/>
                    </w:rPr>
                    <w:t>Writing ARE+</w:t>
                  </w:r>
                </w:p>
              </w:tc>
              <w:tc>
                <w:tcPr>
                  <w:tcW w:w="1545" w:type="dxa"/>
                </w:tcPr>
                <w:p w14:paraId="4499BFAF" w14:textId="77777777" w:rsidR="00797C96" w:rsidRDefault="00797C96" w:rsidP="00797C96">
                  <w:pPr>
                    <w:spacing w:before="60"/>
                    <w:rPr>
                      <w:sz w:val="20"/>
                      <w:szCs w:val="20"/>
                      <w:lang w:eastAsia="en-US"/>
                    </w:rPr>
                  </w:pPr>
                  <w:r>
                    <w:rPr>
                      <w:sz w:val="20"/>
                      <w:szCs w:val="20"/>
                      <w:lang w:eastAsia="en-US"/>
                    </w:rPr>
                    <w:t>Writing GDS</w:t>
                  </w:r>
                </w:p>
              </w:tc>
              <w:tc>
                <w:tcPr>
                  <w:tcW w:w="1545" w:type="dxa"/>
                </w:tcPr>
                <w:p w14:paraId="595B7F7A" w14:textId="77777777" w:rsidR="00797C96" w:rsidRDefault="00797C96" w:rsidP="00797C96">
                  <w:pPr>
                    <w:spacing w:before="60"/>
                    <w:rPr>
                      <w:sz w:val="20"/>
                      <w:szCs w:val="20"/>
                      <w:lang w:eastAsia="en-US"/>
                    </w:rPr>
                  </w:pPr>
                  <w:r>
                    <w:rPr>
                      <w:sz w:val="20"/>
                      <w:szCs w:val="20"/>
                      <w:lang w:eastAsia="en-US"/>
                    </w:rPr>
                    <w:t>Maths ARE+</w:t>
                  </w:r>
                </w:p>
              </w:tc>
              <w:tc>
                <w:tcPr>
                  <w:tcW w:w="1545" w:type="dxa"/>
                </w:tcPr>
                <w:p w14:paraId="26366288" w14:textId="77777777" w:rsidR="00797C96" w:rsidRDefault="00797C96" w:rsidP="00797C96">
                  <w:pPr>
                    <w:spacing w:before="60"/>
                    <w:rPr>
                      <w:sz w:val="20"/>
                      <w:szCs w:val="20"/>
                      <w:lang w:eastAsia="en-US"/>
                    </w:rPr>
                  </w:pPr>
                  <w:r>
                    <w:rPr>
                      <w:sz w:val="20"/>
                      <w:szCs w:val="20"/>
                      <w:lang w:eastAsia="en-US"/>
                    </w:rPr>
                    <w:t>Maths GDS</w:t>
                  </w:r>
                </w:p>
              </w:tc>
            </w:tr>
            <w:tr w:rsidR="00797C96" w14:paraId="4C33B594" w14:textId="77777777" w:rsidTr="000832D9">
              <w:tc>
                <w:tcPr>
                  <w:tcW w:w="1544" w:type="dxa"/>
                </w:tcPr>
                <w:p w14:paraId="29E94435" w14:textId="493CAFA6" w:rsidR="00797C96" w:rsidRDefault="00797C96" w:rsidP="00797C96">
                  <w:pPr>
                    <w:spacing w:before="60"/>
                    <w:rPr>
                      <w:sz w:val="20"/>
                      <w:szCs w:val="20"/>
                      <w:lang w:eastAsia="en-US"/>
                    </w:rPr>
                  </w:pPr>
                  <w:r>
                    <w:rPr>
                      <w:sz w:val="20"/>
                      <w:szCs w:val="20"/>
                      <w:lang w:eastAsia="en-US"/>
                    </w:rPr>
                    <w:lastRenderedPageBreak/>
                    <w:t>All: 7</w:t>
                  </w:r>
                  <w:r w:rsidR="003A57D8">
                    <w:rPr>
                      <w:sz w:val="20"/>
                      <w:szCs w:val="20"/>
                      <w:lang w:eastAsia="en-US"/>
                    </w:rPr>
                    <w:t>8</w:t>
                  </w:r>
                  <w:r>
                    <w:rPr>
                      <w:sz w:val="20"/>
                      <w:szCs w:val="20"/>
                      <w:lang w:eastAsia="en-US"/>
                    </w:rPr>
                    <w:t>%</w:t>
                  </w:r>
                </w:p>
                <w:p w14:paraId="74EA6CE2" w14:textId="72F5D6AF" w:rsidR="00797C96" w:rsidRDefault="00797C96" w:rsidP="00797C96">
                  <w:pPr>
                    <w:spacing w:before="60"/>
                    <w:rPr>
                      <w:sz w:val="20"/>
                      <w:szCs w:val="20"/>
                      <w:lang w:eastAsia="en-US"/>
                    </w:rPr>
                  </w:pPr>
                  <w:r>
                    <w:rPr>
                      <w:sz w:val="20"/>
                      <w:szCs w:val="20"/>
                      <w:lang w:eastAsia="en-US"/>
                    </w:rPr>
                    <w:t>PP: 5</w:t>
                  </w:r>
                  <w:r w:rsidR="003A57D8">
                    <w:rPr>
                      <w:sz w:val="20"/>
                      <w:szCs w:val="20"/>
                      <w:lang w:eastAsia="en-US"/>
                    </w:rPr>
                    <w:t>8</w:t>
                  </w:r>
                  <w:r>
                    <w:rPr>
                      <w:sz w:val="20"/>
                      <w:szCs w:val="20"/>
                      <w:lang w:eastAsia="en-US"/>
                    </w:rPr>
                    <w:t>%</w:t>
                  </w:r>
                </w:p>
                <w:p w14:paraId="60600CD1" w14:textId="37510E86" w:rsidR="00797C96" w:rsidRDefault="00797C96" w:rsidP="00797C96">
                  <w:pPr>
                    <w:spacing w:before="60"/>
                    <w:rPr>
                      <w:sz w:val="20"/>
                      <w:szCs w:val="20"/>
                      <w:lang w:eastAsia="en-US"/>
                    </w:rPr>
                  </w:pPr>
                  <w:r>
                    <w:rPr>
                      <w:sz w:val="20"/>
                      <w:szCs w:val="20"/>
                      <w:lang w:eastAsia="en-US"/>
                    </w:rPr>
                    <w:t xml:space="preserve">Non-PP: </w:t>
                  </w:r>
                  <w:r w:rsidR="003A57D8">
                    <w:rPr>
                      <w:sz w:val="20"/>
                      <w:szCs w:val="20"/>
                      <w:lang w:eastAsia="en-US"/>
                    </w:rPr>
                    <w:t>92</w:t>
                  </w:r>
                  <w:r>
                    <w:rPr>
                      <w:sz w:val="20"/>
                      <w:szCs w:val="20"/>
                      <w:lang w:eastAsia="en-US"/>
                    </w:rPr>
                    <w:t>%</w:t>
                  </w:r>
                </w:p>
                <w:p w14:paraId="5FD88B5C" w14:textId="1A3589A7" w:rsidR="00797C96" w:rsidRDefault="00797C96" w:rsidP="00797C96">
                  <w:pPr>
                    <w:spacing w:before="60"/>
                    <w:rPr>
                      <w:sz w:val="20"/>
                      <w:szCs w:val="20"/>
                      <w:lang w:eastAsia="en-US"/>
                    </w:rPr>
                  </w:pPr>
                  <w:r>
                    <w:rPr>
                      <w:sz w:val="20"/>
                      <w:szCs w:val="20"/>
                      <w:lang w:eastAsia="en-US"/>
                    </w:rPr>
                    <w:t xml:space="preserve">PP </w:t>
                  </w:r>
                  <w:r w:rsidR="00220EAD">
                    <w:rPr>
                      <w:sz w:val="20"/>
                      <w:szCs w:val="20"/>
                      <w:lang w:eastAsia="en-US"/>
                    </w:rPr>
                    <w:t xml:space="preserve">14% lower than previous year and gap has </w:t>
                  </w:r>
                  <w:r w:rsidR="00AC6677">
                    <w:rPr>
                      <w:sz w:val="20"/>
                      <w:szCs w:val="20"/>
                      <w:lang w:eastAsia="en-US"/>
                    </w:rPr>
                    <w:t>widened by 14%.</w:t>
                  </w:r>
                </w:p>
              </w:tc>
              <w:tc>
                <w:tcPr>
                  <w:tcW w:w="1544" w:type="dxa"/>
                </w:tcPr>
                <w:p w14:paraId="116735AC" w14:textId="757406EE" w:rsidR="00797C96" w:rsidRDefault="00797C96" w:rsidP="00797C96">
                  <w:pPr>
                    <w:spacing w:before="60"/>
                    <w:rPr>
                      <w:sz w:val="20"/>
                      <w:szCs w:val="20"/>
                      <w:lang w:eastAsia="en-US"/>
                    </w:rPr>
                  </w:pPr>
                  <w:r>
                    <w:rPr>
                      <w:sz w:val="20"/>
                      <w:szCs w:val="20"/>
                      <w:lang w:eastAsia="en-US"/>
                    </w:rPr>
                    <w:t>All: 2</w:t>
                  </w:r>
                  <w:r w:rsidR="002F3B6C">
                    <w:rPr>
                      <w:sz w:val="20"/>
                      <w:szCs w:val="20"/>
                      <w:lang w:eastAsia="en-US"/>
                    </w:rPr>
                    <w:t>5</w:t>
                  </w:r>
                  <w:r>
                    <w:rPr>
                      <w:sz w:val="20"/>
                      <w:szCs w:val="20"/>
                      <w:lang w:eastAsia="en-US"/>
                    </w:rPr>
                    <w:t>%</w:t>
                  </w:r>
                </w:p>
                <w:p w14:paraId="3F82B484" w14:textId="7452C176" w:rsidR="00797C96" w:rsidRDefault="00797C96" w:rsidP="00797C96">
                  <w:pPr>
                    <w:spacing w:before="60"/>
                    <w:rPr>
                      <w:sz w:val="20"/>
                      <w:szCs w:val="20"/>
                      <w:lang w:eastAsia="en-US"/>
                    </w:rPr>
                  </w:pPr>
                  <w:r>
                    <w:rPr>
                      <w:sz w:val="20"/>
                      <w:szCs w:val="20"/>
                      <w:lang w:eastAsia="en-US"/>
                    </w:rPr>
                    <w:t xml:space="preserve">PP: </w:t>
                  </w:r>
                  <w:r w:rsidR="002F3B6C">
                    <w:rPr>
                      <w:sz w:val="20"/>
                      <w:szCs w:val="20"/>
                      <w:lang w:eastAsia="en-US"/>
                    </w:rPr>
                    <w:t>29</w:t>
                  </w:r>
                  <w:r>
                    <w:rPr>
                      <w:sz w:val="20"/>
                      <w:szCs w:val="20"/>
                      <w:lang w:eastAsia="en-US"/>
                    </w:rPr>
                    <w:t>%</w:t>
                  </w:r>
                </w:p>
                <w:p w14:paraId="14540C2A" w14:textId="6DBCF645" w:rsidR="00797C96" w:rsidRDefault="00797C96" w:rsidP="00797C96">
                  <w:pPr>
                    <w:spacing w:before="60"/>
                    <w:rPr>
                      <w:sz w:val="20"/>
                      <w:szCs w:val="20"/>
                      <w:lang w:eastAsia="en-US"/>
                    </w:rPr>
                  </w:pPr>
                  <w:r>
                    <w:rPr>
                      <w:sz w:val="20"/>
                      <w:szCs w:val="20"/>
                      <w:lang w:eastAsia="en-US"/>
                    </w:rPr>
                    <w:t>Non-PP: 2</w:t>
                  </w:r>
                  <w:r w:rsidR="002F3B6C">
                    <w:rPr>
                      <w:sz w:val="20"/>
                      <w:szCs w:val="20"/>
                      <w:lang w:eastAsia="en-US"/>
                    </w:rPr>
                    <w:t>2</w:t>
                  </w:r>
                  <w:r>
                    <w:rPr>
                      <w:sz w:val="20"/>
                      <w:szCs w:val="20"/>
                      <w:lang w:eastAsia="en-US"/>
                    </w:rPr>
                    <w:t>%</w:t>
                  </w:r>
                </w:p>
                <w:p w14:paraId="7763636C" w14:textId="6DF01132" w:rsidR="00797C96" w:rsidRDefault="00797C96" w:rsidP="00797C96">
                  <w:pPr>
                    <w:spacing w:before="60"/>
                    <w:rPr>
                      <w:sz w:val="20"/>
                      <w:szCs w:val="20"/>
                      <w:lang w:eastAsia="en-US"/>
                    </w:rPr>
                  </w:pPr>
                  <w:r>
                    <w:rPr>
                      <w:sz w:val="20"/>
                      <w:szCs w:val="20"/>
                      <w:lang w:eastAsia="en-US"/>
                    </w:rPr>
                    <w:t xml:space="preserve">PP gap </w:t>
                  </w:r>
                  <w:r w:rsidR="002F3B6C">
                    <w:rPr>
                      <w:sz w:val="20"/>
                      <w:szCs w:val="20"/>
                      <w:lang w:eastAsia="en-US"/>
                    </w:rPr>
                    <w:t>5% higher than last year and outperform non-PP.</w:t>
                  </w:r>
                </w:p>
              </w:tc>
              <w:tc>
                <w:tcPr>
                  <w:tcW w:w="1544" w:type="dxa"/>
                </w:tcPr>
                <w:p w14:paraId="3AEA20F8" w14:textId="24B7C9EF" w:rsidR="00797C96" w:rsidRDefault="00797C96" w:rsidP="00797C96">
                  <w:pPr>
                    <w:spacing w:before="60"/>
                    <w:rPr>
                      <w:sz w:val="20"/>
                      <w:szCs w:val="20"/>
                      <w:lang w:eastAsia="en-US"/>
                    </w:rPr>
                  </w:pPr>
                  <w:r>
                    <w:rPr>
                      <w:sz w:val="20"/>
                      <w:szCs w:val="20"/>
                      <w:lang w:eastAsia="en-US"/>
                    </w:rPr>
                    <w:t xml:space="preserve">All: </w:t>
                  </w:r>
                  <w:r w:rsidR="00061708">
                    <w:rPr>
                      <w:sz w:val="20"/>
                      <w:szCs w:val="20"/>
                      <w:lang w:eastAsia="en-US"/>
                    </w:rPr>
                    <w:t>83</w:t>
                  </w:r>
                  <w:r>
                    <w:rPr>
                      <w:sz w:val="20"/>
                      <w:szCs w:val="20"/>
                      <w:lang w:eastAsia="en-US"/>
                    </w:rPr>
                    <w:t>%</w:t>
                  </w:r>
                </w:p>
                <w:p w14:paraId="42FF91F3" w14:textId="33E4446E" w:rsidR="00797C96" w:rsidRDefault="00797C96" w:rsidP="00797C96">
                  <w:pPr>
                    <w:spacing w:before="60"/>
                    <w:rPr>
                      <w:sz w:val="20"/>
                      <w:szCs w:val="20"/>
                      <w:lang w:eastAsia="en-US"/>
                    </w:rPr>
                  </w:pPr>
                  <w:r>
                    <w:rPr>
                      <w:sz w:val="20"/>
                      <w:szCs w:val="20"/>
                      <w:lang w:eastAsia="en-US"/>
                    </w:rPr>
                    <w:t xml:space="preserve">PP: </w:t>
                  </w:r>
                  <w:r w:rsidR="00061708">
                    <w:rPr>
                      <w:sz w:val="20"/>
                      <w:szCs w:val="20"/>
                      <w:lang w:eastAsia="en-US"/>
                    </w:rPr>
                    <w:t>67</w:t>
                  </w:r>
                  <w:r>
                    <w:rPr>
                      <w:sz w:val="20"/>
                      <w:szCs w:val="20"/>
                      <w:lang w:eastAsia="en-US"/>
                    </w:rPr>
                    <w:t>%</w:t>
                  </w:r>
                </w:p>
                <w:p w14:paraId="618EF888" w14:textId="1E487281" w:rsidR="00797C96" w:rsidRDefault="00797C96" w:rsidP="00797C96">
                  <w:pPr>
                    <w:spacing w:before="60"/>
                    <w:rPr>
                      <w:sz w:val="20"/>
                      <w:szCs w:val="20"/>
                      <w:lang w:eastAsia="en-US"/>
                    </w:rPr>
                  </w:pPr>
                  <w:r>
                    <w:rPr>
                      <w:sz w:val="20"/>
                      <w:szCs w:val="20"/>
                      <w:lang w:eastAsia="en-US"/>
                    </w:rPr>
                    <w:t xml:space="preserve">Non-PP: </w:t>
                  </w:r>
                  <w:r w:rsidR="00061708">
                    <w:rPr>
                      <w:sz w:val="20"/>
                      <w:szCs w:val="20"/>
                      <w:lang w:eastAsia="en-US"/>
                    </w:rPr>
                    <w:t>94</w:t>
                  </w:r>
                  <w:r>
                    <w:rPr>
                      <w:sz w:val="20"/>
                      <w:szCs w:val="20"/>
                      <w:lang w:eastAsia="en-US"/>
                    </w:rPr>
                    <w:t>%</w:t>
                  </w:r>
                </w:p>
                <w:p w14:paraId="44E170C4" w14:textId="2B78B2AE" w:rsidR="00797C96" w:rsidRDefault="00797C96" w:rsidP="00797C96">
                  <w:pPr>
                    <w:spacing w:before="60"/>
                    <w:rPr>
                      <w:sz w:val="20"/>
                      <w:szCs w:val="20"/>
                      <w:lang w:eastAsia="en-US"/>
                    </w:rPr>
                  </w:pPr>
                  <w:r>
                    <w:rPr>
                      <w:sz w:val="20"/>
                      <w:szCs w:val="20"/>
                      <w:lang w:eastAsia="en-US"/>
                    </w:rPr>
                    <w:t xml:space="preserve">PP </w:t>
                  </w:r>
                  <w:r w:rsidR="006E24E6">
                    <w:rPr>
                      <w:sz w:val="20"/>
                      <w:szCs w:val="20"/>
                      <w:lang w:eastAsia="en-US"/>
                    </w:rPr>
                    <w:t>4% lower than previous year and gap has widened</w:t>
                  </w:r>
                  <w:r w:rsidR="00180CE9">
                    <w:rPr>
                      <w:sz w:val="20"/>
                      <w:szCs w:val="20"/>
                      <w:lang w:eastAsia="en-US"/>
                    </w:rPr>
                    <w:t xml:space="preserve"> by 11%.</w:t>
                  </w:r>
                </w:p>
                <w:p w14:paraId="17AFF69B" w14:textId="77777777" w:rsidR="00797C96" w:rsidRDefault="00797C96" w:rsidP="00797C96">
                  <w:pPr>
                    <w:spacing w:before="60"/>
                    <w:rPr>
                      <w:sz w:val="20"/>
                      <w:szCs w:val="20"/>
                      <w:lang w:eastAsia="en-US"/>
                    </w:rPr>
                  </w:pPr>
                </w:p>
              </w:tc>
              <w:tc>
                <w:tcPr>
                  <w:tcW w:w="1545" w:type="dxa"/>
                </w:tcPr>
                <w:p w14:paraId="54946542" w14:textId="18F96335" w:rsidR="00797C96" w:rsidRDefault="00797C96" w:rsidP="00797C96">
                  <w:pPr>
                    <w:spacing w:before="60"/>
                    <w:rPr>
                      <w:sz w:val="20"/>
                      <w:szCs w:val="20"/>
                      <w:lang w:eastAsia="en-US"/>
                    </w:rPr>
                  </w:pPr>
                  <w:r>
                    <w:rPr>
                      <w:sz w:val="20"/>
                      <w:szCs w:val="20"/>
                      <w:lang w:eastAsia="en-US"/>
                    </w:rPr>
                    <w:t xml:space="preserve">All: </w:t>
                  </w:r>
                  <w:r w:rsidR="003C00C1">
                    <w:rPr>
                      <w:sz w:val="20"/>
                      <w:szCs w:val="20"/>
                      <w:lang w:eastAsia="en-US"/>
                    </w:rPr>
                    <w:t>23</w:t>
                  </w:r>
                  <w:r>
                    <w:rPr>
                      <w:sz w:val="20"/>
                      <w:szCs w:val="20"/>
                      <w:lang w:eastAsia="en-US"/>
                    </w:rPr>
                    <w:t>%</w:t>
                  </w:r>
                </w:p>
                <w:p w14:paraId="5BFD83B8" w14:textId="01658495" w:rsidR="00797C96" w:rsidRDefault="00797C96" w:rsidP="00797C96">
                  <w:pPr>
                    <w:spacing w:before="60"/>
                    <w:rPr>
                      <w:sz w:val="20"/>
                      <w:szCs w:val="20"/>
                      <w:lang w:eastAsia="en-US"/>
                    </w:rPr>
                  </w:pPr>
                  <w:r>
                    <w:rPr>
                      <w:sz w:val="20"/>
                      <w:szCs w:val="20"/>
                      <w:lang w:eastAsia="en-US"/>
                    </w:rPr>
                    <w:t xml:space="preserve">PP: </w:t>
                  </w:r>
                  <w:r w:rsidR="003C00C1">
                    <w:rPr>
                      <w:sz w:val="20"/>
                      <w:szCs w:val="20"/>
                      <w:lang w:eastAsia="en-US"/>
                    </w:rPr>
                    <w:t>13</w:t>
                  </w:r>
                  <w:r>
                    <w:rPr>
                      <w:sz w:val="20"/>
                      <w:szCs w:val="20"/>
                      <w:lang w:eastAsia="en-US"/>
                    </w:rPr>
                    <w:t>%</w:t>
                  </w:r>
                </w:p>
                <w:p w14:paraId="27B31584" w14:textId="654B7C30" w:rsidR="00797C96" w:rsidRDefault="00797C96" w:rsidP="00797C96">
                  <w:pPr>
                    <w:spacing w:before="60"/>
                    <w:rPr>
                      <w:sz w:val="20"/>
                      <w:szCs w:val="20"/>
                      <w:lang w:eastAsia="en-US"/>
                    </w:rPr>
                  </w:pPr>
                  <w:r>
                    <w:rPr>
                      <w:sz w:val="20"/>
                      <w:szCs w:val="20"/>
                      <w:lang w:eastAsia="en-US"/>
                    </w:rPr>
                    <w:t xml:space="preserve">Non-pp: </w:t>
                  </w:r>
                  <w:r w:rsidR="003C00C1">
                    <w:rPr>
                      <w:sz w:val="20"/>
                      <w:szCs w:val="20"/>
                      <w:lang w:eastAsia="en-US"/>
                    </w:rPr>
                    <w:t>31</w:t>
                  </w:r>
                  <w:r>
                    <w:rPr>
                      <w:sz w:val="20"/>
                      <w:szCs w:val="20"/>
                      <w:lang w:eastAsia="en-US"/>
                    </w:rPr>
                    <w:t>%</w:t>
                  </w:r>
                </w:p>
                <w:p w14:paraId="1C4D4378" w14:textId="171E02A9" w:rsidR="00797C96" w:rsidRDefault="00797C96" w:rsidP="00797C96">
                  <w:pPr>
                    <w:spacing w:before="60"/>
                    <w:rPr>
                      <w:sz w:val="20"/>
                      <w:szCs w:val="20"/>
                      <w:lang w:eastAsia="en-US"/>
                    </w:rPr>
                  </w:pPr>
                  <w:r>
                    <w:rPr>
                      <w:sz w:val="20"/>
                      <w:szCs w:val="20"/>
                      <w:lang w:eastAsia="en-US"/>
                    </w:rPr>
                    <w:t xml:space="preserve">PP 5% higher than previous year and gap has </w:t>
                  </w:r>
                  <w:r w:rsidR="003C00C1">
                    <w:rPr>
                      <w:sz w:val="20"/>
                      <w:szCs w:val="20"/>
                      <w:lang w:eastAsia="en-US"/>
                    </w:rPr>
                    <w:t xml:space="preserve">reduced by </w:t>
                  </w:r>
                  <w:r w:rsidR="008818AA">
                    <w:rPr>
                      <w:sz w:val="20"/>
                      <w:szCs w:val="20"/>
                      <w:lang w:eastAsia="en-US"/>
                    </w:rPr>
                    <w:t>18%.</w:t>
                  </w:r>
                </w:p>
              </w:tc>
              <w:tc>
                <w:tcPr>
                  <w:tcW w:w="1545" w:type="dxa"/>
                </w:tcPr>
                <w:p w14:paraId="5B221641" w14:textId="5F1E29C0" w:rsidR="00797C96" w:rsidRDefault="00797C96" w:rsidP="00797C96">
                  <w:pPr>
                    <w:spacing w:before="60"/>
                    <w:rPr>
                      <w:sz w:val="20"/>
                      <w:szCs w:val="20"/>
                      <w:lang w:eastAsia="en-US"/>
                    </w:rPr>
                  </w:pPr>
                  <w:r>
                    <w:rPr>
                      <w:sz w:val="20"/>
                      <w:szCs w:val="20"/>
                      <w:lang w:eastAsia="en-US"/>
                    </w:rPr>
                    <w:t>All: 7</w:t>
                  </w:r>
                  <w:r w:rsidR="009E68FB">
                    <w:rPr>
                      <w:sz w:val="20"/>
                      <w:szCs w:val="20"/>
                      <w:lang w:eastAsia="en-US"/>
                    </w:rPr>
                    <w:t>5</w:t>
                  </w:r>
                  <w:r>
                    <w:rPr>
                      <w:sz w:val="20"/>
                      <w:szCs w:val="20"/>
                      <w:lang w:eastAsia="en-US"/>
                    </w:rPr>
                    <w:t>%</w:t>
                  </w:r>
                </w:p>
                <w:p w14:paraId="45BC9647" w14:textId="30EF051B" w:rsidR="00797C96" w:rsidRDefault="00797C96" w:rsidP="00797C96">
                  <w:pPr>
                    <w:spacing w:before="60"/>
                    <w:rPr>
                      <w:sz w:val="20"/>
                      <w:szCs w:val="20"/>
                      <w:lang w:eastAsia="en-US"/>
                    </w:rPr>
                  </w:pPr>
                  <w:r>
                    <w:rPr>
                      <w:sz w:val="20"/>
                      <w:szCs w:val="20"/>
                      <w:lang w:eastAsia="en-US"/>
                    </w:rPr>
                    <w:t>PP: 5</w:t>
                  </w:r>
                  <w:r w:rsidR="009E68FB">
                    <w:rPr>
                      <w:sz w:val="20"/>
                      <w:szCs w:val="20"/>
                      <w:lang w:eastAsia="en-US"/>
                    </w:rPr>
                    <w:t>4</w:t>
                  </w:r>
                  <w:r>
                    <w:rPr>
                      <w:sz w:val="20"/>
                      <w:szCs w:val="20"/>
                      <w:lang w:eastAsia="en-US"/>
                    </w:rPr>
                    <w:t>%</w:t>
                  </w:r>
                </w:p>
                <w:p w14:paraId="6EDDF363" w14:textId="0E863CC8" w:rsidR="00797C96" w:rsidRDefault="00797C96" w:rsidP="00797C96">
                  <w:pPr>
                    <w:spacing w:before="60"/>
                    <w:rPr>
                      <w:sz w:val="20"/>
                      <w:szCs w:val="20"/>
                      <w:lang w:eastAsia="en-US"/>
                    </w:rPr>
                  </w:pPr>
                  <w:r>
                    <w:rPr>
                      <w:sz w:val="20"/>
                      <w:szCs w:val="20"/>
                      <w:lang w:eastAsia="en-US"/>
                    </w:rPr>
                    <w:t>Non-PP: 8</w:t>
                  </w:r>
                  <w:r w:rsidR="009E68FB">
                    <w:rPr>
                      <w:sz w:val="20"/>
                      <w:szCs w:val="20"/>
                      <w:lang w:eastAsia="en-US"/>
                    </w:rPr>
                    <w:t>9</w:t>
                  </w:r>
                  <w:r>
                    <w:rPr>
                      <w:sz w:val="20"/>
                      <w:szCs w:val="20"/>
                      <w:lang w:eastAsia="en-US"/>
                    </w:rPr>
                    <w:t>%</w:t>
                  </w:r>
                </w:p>
                <w:p w14:paraId="53CF15C0" w14:textId="63E79F2C" w:rsidR="00797C96" w:rsidRDefault="00797C96" w:rsidP="00797C96">
                  <w:pPr>
                    <w:spacing w:before="60"/>
                    <w:rPr>
                      <w:sz w:val="20"/>
                      <w:szCs w:val="20"/>
                      <w:lang w:eastAsia="en-US"/>
                    </w:rPr>
                  </w:pPr>
                  <w:r>
                    <w:rPr>
                      <w:sz w:val="20"/>
                      <w:szCs w:val="20"/>
                      <w:lang w:eastAsia="en-US"/>
                    </w:rPr>
                    <w:t xml:space="preserve">PP </w:t>
                  </w:r>
                  <w:r w:rsidR="009E68FB">
                    <w:rPr>
                      <w:sz w:val="20"/>
                      <w:szCs w:val="20"/>
                      <w:lang w:eastAsia="en-US"/>
                    </w:rPr>
                    <w:t>3% lower than previous year</w:t>
                  </w:r>
                  <w:r w:rsidR="008A051B">
                    <w:rPr>
                      <w:sz w:val="20"/>
                      <w:szCs w:val="20"/>
                      <w:lang w:eastAsia="en-US"/>
                    </w:rPr>
                    <w:t xml:space="preserve"> and gap has widened by 15%.</w:t>
                  </w:r>
                </w:p>
              </w:tc>
              <w:tc>
                <w:tcPr>
                  <w:tcW w:w="1545" w:type="dxa"/>
                </w:tcPr>
                <w:p w14:paraId="4A823919" w14:textId="6706379E" w:rsidR="00797C96" w:rsidRDefault="00797C96" w:rsidP="00797C96">
                  <w:pPr>
                    <w:spacing w:before="60"/>
                    <w:rPr>
                      <w:sz w:val="20"/>
                      <w:szCs w:val="20"/>
                      <w:lang w:eastAsia="en-US"/>
                    </w:rPr>
                  </w:pPr>
                  <w:r>
                    <w:rPr>
                      <w:sz w:val="20"/>
                      <w:szCs w:val="20"/>
                      <w:lang w:eastAsia="en-US"/>
                    </w:rPr>
                    <w:t xml:space="preserve">All: </w:t>
                  </w:r>
                  <w:r w:rsidR="00BA4F89">
                    <w:rPr>
                      <w:sz w:val="20"/>
                      <w:szCs w:val="20"/>
                      <w:lang w:eastAsia="en-US"/>
                    </w:rPr>
                    <w:t>15</w:t>
                  </w:r>
                  <w:r>
                    <w:rPr>
                      <w:sz w:val="20"/>
                      <w:szCs w:val="20"/>
                      <w:lang w:eastAsia="en-US"/>
                    </w:rPr>
                    <w:t>%</w:t>
                  </w:r>
                </w:p>
                <w:p w14:paraId="00D53F77" w14:textId="6D4C2CB6" w:rsidR="00797C96" w:rsidRDefault="00797C96" w:rsidP="00797C96">
                  <w:pPr>
                    <w:spacing w:before="60"/>
                    <w:rPr>
                      <w:sz w:val="20"/>
                      <w:szCs w:val="20"/>
                      <w:lang w:eastAsia="en-US"/>
                    </w:rPr>
                  </w:pPr>
                  <w:r>
                    <w:rPr>
                      <w:sz w:val="20"/>
                      <w:szCs w:val="20"/>
                      <w:lang w:eastAsia="en-US"/>
                    </w:rPr>
                    <w:t xml:space="preserve">PP: </w:t>
                  </w:r>
                  <w:r w:rsidR="00BA4F89">
                    <w:rPr>
                      <w:sz w:val="20"/>
                      <w:szCs w:val="20"/>
                      <w:lang w:eastAsia="en-US"/>
                    </w:rPr>
                    <w:t>4</w:t>
                  </w:r>
                  <w:r>
                    <w:rPr>
                      <w:sz w:val="20"/>
                      <w:szCs w:val="20"/>
                      <w:lang w:eastAsia="en-US"/>
                    </w:rPr>
                    <w:t>%</w:t>
                  </w:r>
                </w:p>
                <w:p w14:paraId="0FF0615F" w14:textId="537A8032" w:rsidR="00797C96" w:rsidRDefault="00797C96" w:rsidP="00797C96">
                  <w:pPr>
                    <w:spacing w:before="60"/>
                    <w:rPr>
                      <w:sz w:val="20"/>
                      <w:szCs w:val="20"/>
                      <w:lang w:eastAsia="en-US"/>
                    </w:rPr>
                  </w:pPr>
                  <w:r>
                    <w:rPr>
                      <w:sz w:val="20"/>
                      <w:szCs w:val="20"/>
                      <w:lang w:eastAsia="en-US"/>
                    </w:rPr>
                    <w:t>Non-PP: 2</w:t>
                  </w:r>
                  <w:r w:rsidR="00BA4F89">
                    <w:rPr>
                      <w:sz w:val="20"/>
                      <w:szCs w:val="20"/>
                      <w:lang w:eastAsia="en-US"/>
                    </w:rPr>
                    <w:t>2</w:t>
                  </w:r>
                  <w:r>
                    <w:rPr>
                      <w:sz w:val="20"/>
                      <w:szCs w:val="20"/>
                      <w:lang w:eastAsia="en-US"/>
                    </w:rPr>
                    <w:t>%</w:t>
                  </w:r>
                </w:p>
                <w:p w14:paraId="13D42247" w14:textId="1AAA00A8" w:rsidR="00797C96" w:rsidRDefault="00797C96" w:rsidP="00797C96">
                  <w:pPr>
                    <w:spacing w:before="60"/>
                    <w:rPr>
                      <w:sz w:val="20"/>
                      <w:szCs w:val="20"/>
                      <w:lang w:eastAsia="en-US"/>
                    </w:rPr>
                  </w:pPr>
                  <w:r>
                    <w:rPr>
                      <w:sz w:val="20"/>
                      <w:szCs w:val="20"/>
                      <w:lang w:eastAsia="en-US"/>
                    </w:rPr>
                    <w:t xml:space="preserve">PP </w:t>
                  </w:r>
                  <w:r w:rsidR="00BA4F89">
                    <w:rPr>
                      <w:sz w:val="20"/>
                      <w:szCs w:val="20"/>
                      <w:lang w:eastAsia="en-US"/>
                    </w:rPr>
                    <w:t>1% lower than previous year with gap remaining similar.</w:t>
                  </w:r>
                </w:p>
              </w:tc>
            </w:tr>
          </w:tbl>
          <w:p w14:paraId="6A9957C1" w14:textId="77777777" w:rsidR="00797C96" w:rsidRDefault="00797C96" w:rsidP="00242093">
            <w:pPr>
              <w:spacing w:before="60"/>
              <w:rPr>
                <w:sz w:val="20"/>
                <w:szCs w:val="20"/>
                <w:lang w:eastAsia="en-US"/>
              </w:rPr>
            </w:pPr>
          </w:p>
          <w:p w14:paraId="2ED82BF3" w14:textId="00B5B841" w:rsidR="00207C74" w:rsidRDefault="00207C74" w:rsidP="00242093">
            <w:pPr>
              <w:spacing w:before="60"/>
              <w:rPr>
                <w:sz w:val="20"/>
                <w:szCs w:val="20"/>
                <w:lang w:eastAsia="en-US"/>
              </w:rPr>
            </w:pPr>
            <w:r>
              <w:rPr>
                <w:sz w:val="20"/>
                <w:szCs w:val="20"/>
                <w:lang w:eastAsia="en-US"/>
              </w:rPr>
              <w:t>Attendance</w:t>
            </w:r>
          </w:p>
          <w:p w14:paraId="43E7E708" w14:textId="57ECC5BF" w:rsidR="00207C74" w:rsidRDefault="00207C74" w:rsidP="00242093">
            <w:pPr>
              <w:spacing w:before="60"/>
              <w:rPr>
                <w:sz w:val="20"/>
                <w:szCs w:val="20"/>
                <w:lang w:eastAsia="en-US"/>
              </w:rPr>
            </w:pPr>
            <w:r>
              <w:rPr>
                <w:sz w:val="20"/>
                <w:szCs w:val="20"/>
                <w:lang w:eastAsia="en-US"/>
              </w:rPr>
              <w:t xml:space="preserve">All: </w:t>
            </w:r>
            <w:r w:rsidR="00094A12">
              <w:rPr>
                <w:sz w:val="20"/>
                <w:szCs w:val="20"/>
                <w:lang w:eastAsia="en-US"/>
              </w:rPr>
              <w:t>94.18%</w:t>
            </w:r>
          </w:p>
          <w:p w14:paraId="1140C7EB" w14:textId="6F0F66B8" w:rsidR="00207C74" w:rsidRDefault="00207C74" w:rsidP="00242093">
            <w:pPr>
              <w:spacing w:before="60"/>
              <w:rPr>
                <w:sz w:val="20"/>
                <w:szCs w:val="20"/>
                <w:lang w:eastAsia="en-US"/>
              </w:rPr>
            </w:pPr>
            <w:r>
              <w:rPr>
                <w:sz w:val="20"/>
                <w:szCs w:val="20"/>
                <w:lang w:eastAsia="en-US"/>
              </w:rPr>
              <w:t xml:space="preserve">PP: </w:t>
            </w:r>
            <w:r w:rsidR="00912A4E">
              <w:rPr>
                <w:sz w:val="20"/>
                <w:szCs w:val="20"/>
                <w:lang w:eastAsia="en-US"/>
              </w:rPr>
              <w:t>92.6% - an increase of 0.8% on the previous year</w:t>
            </w:r>
          </w:p>
          <w:p w14:paraId="29F79BA0" w14:textId="5D61AAFD" w:rsidR="00912A4E" w:rsidRDefault="00912A4E" w:rsidP="00242093">
            <w:pPr>
              <w:spacing w:before="60"/>
              <w:rPr>
                <w:sz w:val="20"/>
                <w:szCs w:val="20"/>
                <w:lang w:eastAsia="en-US"/>
              </w:rPr>
            </w:pPr>
            <w:r>
              <w:rPr>
                <w:sz w:val="20"/>
                <w:szCs w:val="20"/>
                <w:lang w:eastAsia="en-US"/>
              </w:rPr>
              <w:t>PA: 17.33%</w:t>
            </w:r>
          </w:p>
          <w:p w14:paraId="4C1B161D" w14:textId="7DBFE1A1" w:rsidR="00912A4E" w:rsidRDefault="00912A4E" w:rsidP="00242093">
            <w:pPr>
              <w:spacing w:before="60"/>
              <w:rPr>
                <w:sz w:val="20"/>
                <w:szCs w:val="20"/>
                <w:lang w:eastAsia="en-US"/>
              </w:rPr>
            </w:pPr>
            <w:r>
              <w:rPr>
                <w:sz w:val="20"/>
                <w:szCs w:val="20"/>
                <w:lang w:eastAsia="en-US"/>
              </w:rPr>
              <w:t xml:space="preserve">PP PA: </w:t>
            </w:r>
            <w:r w:rsidR="004348CF">
              <w:rPr>
                <w:sz w:val="20"/>
                <w:szCs w:val="20"/>
                <w:lang w:eastAsia="en-US"/>
              </w:rPr>
              <w:t>27% - a decrease of 2% on the previous year</w:t>
            </w:r>
          </w:p>
          <w:p w14:paraId="21263A4A" w14:textId="77777777" w:rsidR="00B330DD" w:rsidRPr="00B330DD" w:rsidRDefault="00B330DD" w:rsidP="00242093">
            <w:pPr>
              <w:spacing w:before="60"/>
              <w:rPr>
                <w:sz w:val="20"/>
                <w:szCs w:val="20"/>
                <w:lang w:eastAsia="en-US"/>
              </w:rPr>
            </w:pPr>
          </w:p>
          <w:p w14:paraId="5023926C" w14:textId="6C4A3A88" w:rsidR="00E06BC3" w:rsidRPr="0016493E" w:rsidRDefault="00E06BC3" w:rsidP="00A12861">
            <w:pPr>
              <w:spacing w:before="60"/>
              <w:rPr>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6"/>
      <w:bookmarkEnd w:id="17"/>
      <w:bookmarkEnd w:id="18"/>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DDEB" w14:textId="77777777" w:rsidR="003F0A10" w:rsidRDefault="003F0A10">
      <w:pPr>
        <w:spacing w:after="0" w:line="240" w:lineRule="auto"/>
      </w:pPr>
      <w:r>
        <w:separator/>
      </w:r>
    </w:p>
  </w:endnote>
  <w:endnote w:type="continuationSeparator" w:id="0">
    <w:p w14:paraId="4D8D84BC" w14:textId="77777777" w:rsidR="003F0A10" w:rsidRDefault="003F0A10">
      <w:pPr>
        <w:spacing w:after="0" w:line="240" w:lineRule="auto"/>
      </w:pPr>
      <w:r>
        <w:continuationSeparator/>
      </w:r>
    </w:p>
  </w:endnote>
  <w:endnote w:type="continuationNotice" w:id="1">
    <w:p w14:paraId="69EC8834" w14:textId="77777777" w:rsidR="003F0A10" w:rsidRDefault="003F0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6951" w14:textId="77777777" w:rsidR="003F0A10" w:rsidRDefault="003F0A10">
      <w:pPr>
        <w:spacing w:after="0" w:line="240" w:lineRule="auto"/>
      </w:pPr>
      <w:r>
        <w:separator/>
      </w:r>
    </w:p>
  </w:footnote>
  <w:footnote w:type="continuationSeparator" w:id="0">
    <w:p w14:paraId="045730D0" w14:textId="77777777" w:rsidR="003F0A10" w:rsidRDefault="003F0A10">
      <w:pPr>
        <w:spacing w:after="0" w:line="240" w:lineRule="auto"/>
      </w:pPr>
      <w:r>
        <w:continuationSeparator/>
      </w:r>
    </w:p>
  </w:footnote>
  <w:footnote w:type="continuationNotice" w:id="1">
    <w:p w14:paraId="13C39DE3" w14:textId="77777777" w:rsidR="003F0A10" w:rsidRDefault="003F0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80C83"/>
    <w:multiLevelType w:val="multilevel"/>
    <w:tmpl w:val="70280F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10"/>
  </w:num>
  <w:num w:numId="7">
    <w:abstractNumId w:val="15"/>
  </w:num>
  <w:num w:numId="8">
    <w:abstractNumId w:val="20"/>
  </w:num>
  <w:num w:numId="9">
    <w:abstractNumId w:val="18"/>
  </w:num>
  <w:num w:numId="10">
    <w:abstractNumId w:val="17"/>
  </w:num>
  <w:num w:numId="11">
    <w:abstractNumId w:val="5"/>
  </w:num>
  <w:num w:numId="12">
    <w:abstractNumId w:val="19"/>
  </w:num>
  <w:num w:numId="13">
    <w:abstractNumId w:val="14"/>
  </w:num>
  <w:num w:numId="14">
    <w:abstractNumId w:val="11"/>
  </w:num>
  <w:num w:numId="15">
    <w:abstractNumId w:val="3"/>
  </w:num>
  <w:num w:numId="16">
    <w:abstractNumId w:val="2"/>
  </w:num>
  <w:num w:numId="17">
    <w:abstractNumId w:val="13"/>
  </w:num>
  <w:num w:numId="18">
    <w:abstractNumId w:val="0"/>
  </w:num>
  <w:num w:numId="19">
    <w:abstractNumId w:val="16"/>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47A2"/>
    <w:rsid w:val="000452EB"/>
    <w:rsid w:val="00045603"/>
    <w:rsid w:val="000463AE"/>
    <w:rsid w:val="000507A3"/>
    <w:rsid w:val="00060A62"/>
    <w:rsid w:val="00061708"/>
    <w:rsid w:val="00064366"/>
    <w:rsid w:val="00064502"/>
    <w:rsid w:val="00066B73"/>
    <w:rsid w:val="00071481"/>
    <w:rsid w:val="00071D77"/>
    <w:rsid w:val="00075FAE"/>
    <w:rsid w:val="00082F38"/>
    <w:rsid w:val="000837DB"/>
    <w:rsid w:val="0008384B"/>
    <w:rsid w:val="000929EC"/>
    <w:rsid w:val="00093CDE"/>
    <w:rsid w:val="00094A12"/>
    <w:rsid w:val="00094B3D"/>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04B"/>
    <w:rsid w:val="00116FA8"/>
    <w:rsid w:val="00120AB1"/>
    <w:rsid w:val="00123A7F"/>
    <w:rsid w:val="001278D0"/>
    <w:rsid w:val="00127F72"/>
    <w:rsid w:val="00140646"/>
    <w:rsid w:val="0014409B"/>
    <w:rsid w:val="00147A4B"/>
    <w:rsid w:val="00152554"/>
    <w:rsid w:val="00155944"/>
    <w:rsid w:val="001559D7"/>
    <w:rsid w:val="001648C8"/>
    <w:rsid w:val="0016493E"/>
    <w:rsid w:val="0016523C"/>
    <w:rsid w:val="001671ED"/>
    <w:rsid w:val="00170586"/>
    <w:rsid w:val="00170714"/>
    <w:rsid w:val="00171D79"/>
    <w:rsid w:val="0017264D"/>
    <w:rsid w:val="001727FA"/>
    <w:rsid w:val="00172B0F"/>
    <w:rsid w:val="00173D4C"/>
    <w:rsid w:val="001759B6"/>
    <w:rsid w:val="001761E3"/>
    <w:rsid w:val="00180CE9"/>
    <w:rsid w:val="00181A7E"/>
    <w:rsid w:val="00182FD8"/>
    <w:rsid w:val="00183218"/>
    <w:rsid w:val="00184079"/>
    <w:rsid w:val="00185988"/>
    <w:rsid w:val="00186666"/>
    <w:rsid w:val="001873B6"/>
    <w:rsid w:val="001901E6"/>
    <w:rsid w:val="00191305"/>
    <w:rsid w:val="001948FB"/>
    <w:rsid w:val="001955D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07C74"/>
    <w:rsid w:val="002112C3"/>
    <w:rsid w:val="002131E5"/>
    <w:rsid w:val="00216C8A"/>
    <w:rsid w:val="00220EAD"/>
    <w:rsid w:val="00226317"/>
    <w:rsid w:val="00231539"/>
    <w:rsid w:val="00242093"/>
    <w:rsid w:val="002422FC"/>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D7799"/>
    <w:rsid w:val="002E66AE"/>
    <w:rsid w:val="002E7763"/>
    <w:rsid w:val="002F3B6C"/>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7D8"/>
    <w:rsid w:val="003A5F67"/>
    <w:rsid w:val="003A634F"/>
    <w:rsid w:val="003B14C1"/>
    <w:rsid w:val="003B2884"/>
    <w:rsid w:val="003B588A"/>
    <w:rsid w:val="003B621D"/>
    <w:rsid w:val="003C00C1"/>
    <w:rsid w:val="003C4388"/>
    <w:rsid w:val="003C4C27"/>
    <w:rsid w:val="003C7F7B"/>
    <w:rsid w:val="003D0CD6"/>
    <w:rsid w:val="003D2EAA"/>
    <w:rsid w:val="003D448C"/>
    <w:rsid w:val="003D4BAD"/>
    <w:rsid w:val="003E054C"/>
    <w:rsid w:val="003E1EC5"/>
    <w:rsid w:val="003E27A0"/>
    <w:rsid w:val="003E3872"/>
    <w:rsid w:val="003F0A10"/>
    <w:rsid w:val="003F0CA0"/>
    <w:rsid w:val="003F1108"/>
    <w:rsid w:val="00403F54"/>
    <w:rsid w:val="004044AA"/>
    <w:rsid w:val="004044C8"/>
    <w:rsid w:val="00404F3F"/>
    <w:rsid w:val="00410B5D"/>
    <w:rsid w:val="00413BEC"/>
    <w:rsid w:val="0042265E"/>
    <w:rsid w:val="00424ED7"/>
    <w:rsid w:val="00425258"/>
    <w:rsid w:val="00426217"/>
    <w:rsid w:val="00431A80"/>
    <w:rsid w:val="00433641"/>
    <w:rsid w:val="004348CF"/>
    <w:rsid w:val="00435A89"/>
    <w:rsid w:val="004370C2"/>
    <w:rsid w:val="004471CC"/>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11C1"/>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1B23"/>
    <w:rsid w:val="00573E1D"/>
    <w:rsid w:val="005750E2"/>
    <w:rsid w:val="0058313F"/>
    <w:rsid w:val="00585859"/>
    <w:rsid w:val="00586FBC"/>
    <w:rsid w:val="005879C9"/>
    <w:rsid w:val="00594CAD"/>
    <w:rsid w:val="005A1D0B"/>
    <w:rsid w:val="005A3C6B"/>
    <w:rsid w:val="005B1EA5"/>
    <w:rsid w:val="005B215B"/>
    <w:rsid w:val="005C05E1"/>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694D"/>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24E6"/>
    <w:rsid w:val="006E6B4A"/>
    <w:rsid w:val="006E7449"/>
    <w:rsid w:val="006E7FB1"/>
    <w:rsid w:val="006F2604"/>
    <w:rsid w:val="006F5319"/>
    <w:rsid w:val="006F55FD"/>
    <w:rsid w:val="006F5D21"/>
    <w:rsid w:val="007061DA"/>
    <w:rsid w:val="007109F6"/>
    <w:rsid w:val="00711BE3"/>
    <w:rsid w:val="007173AC"/>
    <w:rsid w:val="00721B51"/>
    <w:rsid w:val="00722CB3"/>
    <w:rsid w:val="00724370"/>
    <w:rsid w:val="00724594"/>
    <w:rsid w:val="00724FA7"/>
    <w:rsid w:val="00725415"/>
    <w:rsid w:val="007262CC"/>
    <w:rsid w:val="00727505"/>
    <w:rsid w:val="00731581"/>
    <w:rsid w:val="0073481D"/>
    <w:rsid w:val="00741345"/>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70F4A"/>
    <w:rsid w:val="00781713"/>
    <w:rsid w:val="00785285"/>
    <w:rsid w:val="0078529D"/>
    <w:rsid w:val="00785E77"/>
    <w:rsid w:val="0078720B"/>
    <w:rsid w:val="00787DC1"/>
    <w:rsid w:val="00794070"/>
    <w:rsid w:val="00797C96"/>
    <w:rsid w:val="007A63CA"/>
    <w:rsid w:val="007A713B"/>
    <w:rsid w:val="007A7DA0"/>
    <w:rsid w:val="007B64E5"/>
    <w:rsid w:val="007C2F04"/>
    <w:rsid w:val="007E7970"/>
    <w:rsid w:val="007F06E5"/>
    <w:rsid w:val="007F5B8B"/>
    <w:rsid w:val="00805BC0"/>
    <w:rsid w:val="00814254"/>
    <w:rsid w:val="00814FB9"/>
    <w:rsid w:val="00817E9A"/>
    <w:rsid w:val="00827786"/>
    <w:rsid w:val="00827BDA"/>
    <w:rsid w:val="00830D57"/>
    <w:rsid w:val="00831F00"/>
    <w:rsid w:val="0083292D"/>
    <w:rsid w:val="00835E3B"/>
    <w:rsid w:val="00850CA0"/>
    <w:rsid w:val="00852A2F"/>
    <w:rsid w:val="008608EE"/>
    <w:rsid w:val="00860B07"/>
    <w:rsid w:val="008616F6"/>
    <w:rsid w:val="0086259C"/>
    <w:rsid w:val="008674ED"/>
    <w:rsid w:val="0087074C"/>
    <w:rsid w:val="00874913"/>
    <w:rsid w:val="00875A7F"/>
    <w:rsid w:val="008818AA"/>
    <w:rsid w:val="00883F24"/>
    <w:rsid w:val="008954A1"/>
    <w:rsid w:val="00897E1F"/>
    <w:rsid w:val="008A051B"/>
    <w:rsid w:val="008A3508"/>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12A4E"/>
    <w:rsid w:val="00921A3A"/>
    <w:rsid w:val="0092287F"/>
    <w:rsid w:val="0092495B"/>
    <w:rsid w:val="0092660E"/>
    <w:rsid w:val="00935F38"/>
    <w:rsid w:val="00936519"/>
    <w:rsid w:val="009413AA"/>
    <w:rsid w:val="00941DA3"/>
    <w:rsid w:val="00942C0C"/>
    <w:rsid w:val="009504A6"/>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640D"/>
    <w:rsid w:val="009B7433"/>
    <w:rsid w:val="009C0914"/>
    <w:rsid w:val="009C27E5"/>
    <w:rsid w:val="009D24A1"/>
    <w:rsid w:val="009D3891"/>
    <w:rsid w:val="009D4434"/>
    <w:rsid w:val="009D71E8"/>
    <w:rsid w:val="009E0CF5"/>
    <w:rsid w:val="009E104B"/>
    <w:rsid w:val="009E2ED2"/>
    <w:rsid w:val="009E4FC2"/>
    <w:rsid w:val="009E68FB"/>
    <w:rsid w:val="009E7DE4"/>
    <w:rsid w:val="009F3BBD"/>
    <w:rsid w:val="00A022AB"/>
    <w:rsid w:val="00A063DD"/>
    <w:rsid w:val="00A112B5"/>
    <w:rsid w:val="00A12861"/>
    <w:rsid w:val="00A14300"/>
    <w:rsid w:val="00A14EEA"/>
    <w:rsid w:val="00A33636"/>
    <w:rsid w:val="00A36B80"/>
    <w:rsid w:val="00A44FBB"/>
    <w:rsid w:val="00A50104"/>
    <w:rsid w:val="00A522E0"/>
    <w:rsid w:val="00A52823"/>
    <w:rsid w:val="00A60E28"/>
    <w:rsid w:val="00A63579"/>
    <w:rsid w:val="00A638AC"/>
    <w:rsid w:val="00A64475"/>
    <w:rsid w:val="00A727E5"/>
    <w:rsid w:val="00A748B5"/>
    <w:rsid w:val="00A7797A"/>
    <w:rsid w:val="00A80A32"/>
    <w:rsid w:val="00A814B5"/>
    <w:rsid w:val="00A81948"/>
    <w:rsid w:val="00A82A98"/>
    <w:rsid w:val="00A82D16"/>
    <w:rsid w:val="00A852F2"/>
    <w:rsid w:val="00A8712A"/>
    <w:rsid w:val="00A917C2"/>
    <w:rsid w:val="00A95F75"/>
    <w:rsid w:val="00A968DA"/>
    <w:rsid w:val="00A96B83"/>
    <w:rsid w:val="00AA355B"/>
    <w:rsid w:val="00AA42E5"/>
    <w:rsid w:val="00AB24FA"/>
    <w:rsid w:val="00AB5161"/>
    <w:rsid w:val="00AC48CA"/>
    <w:rsid w:val="00AC6677"/>
    <w:rsid w:val="00AD330D"/>
    <w:rsid w:val="00AD7B5A"/>
    <w:rsid w:val="00AE032B"/>
    <w:rsid w:val="00AE229F"/>
    <w:rsid w:val="00AF0618"/>
    <w:rsid w:val="00AF5E20"/>
    <w:rsid w:val="00B002FA"/>
    <w:rsid w:val="00B00327"/>
    <w:rsid w:val="00B024B3"/>
    <w:rsid w:val="00B11DE8"/>
    <w:rsid w:val="00B179ED"/>
    <w:rsid w:val="00B20E18"/>
    <w:rsid w:val="00B330DD"/>
    <w:rsid w:val="00B331E1"/>
    <w:rsid w:val="00B35E53"/>
    <w:rsid w:val="00B4532A"/>
    <w:rsid w:val="00B47C66"/>
    <w:rsid w:val="00B572C4"/>
    <w:rsid w:val="00B60858"/>
    <w:rsid w:val="00B60D69"/>
    <w:rsid w:val="00B6234E"/>
    <w:rsid w:val="00B74D4E"/>
    <w:rsid w:val="00B80219"/>
    <w:rsid w:val="00B8677D"/>
    <w:rsid w:val="00B87184"/>
    <w:rsid w:val="00B91453"/>
    <w:rsid w:val="00BA19A5"/>
    <w:rsid w:val="00BA4B58"/>
    <w:rsid w:val="00BA4F89"/>
    <w:rsid w:val="00BB2907"/>
    <w:rsid w:val="00BB6902"/>
    <w:rsid w:val="00BC078B"/>
    <w:rsid w:val="00BC3A7D"/>
    <w:rsid w:val="00BC67F6"/>
    <w:rsid w:val="00BD2004"/>
    <w:rsid w:val="00BD4B12"/>
    <w:rsid w:val="00BD700D"/>
    <w:rsid w:val="00BE2F92"/>
    <w:rsid w:val="00BE44AC"/>
    <w:rsid w:val="00BE470A"/>
    <w:rsid w:val="00BF0D5F"/>
    <w:rsid w:val="00BF30FC"/>
    <w:rsid w:val="00BF59B3"/>
    <w:rsid w:val="00BF6F95"/>
    <w:rsid w:val="00C10BCF"/>
    <w:rsid w:val="00C11EB4"/>
    <w:rsid w:val="00C12746"/>
    <w:rsid w:val="00C23C11"/>
    <w:rsid w:val="00C2441E"/>
    <w:rsid w:val="00C25827"/>
    <w:rsid w:val="00C30CFC"/>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83B76"/>
    <w:rsid w:val="00C97A7F"/>
    <w:rsid w:val="00CA4421"/>
    <w:rsid w:val="00CA5363"/>
    <w:rsid w:val="00CA7D07"/>
    <w:rsid w:val="00CB24A4"/>
    <w:rsid w:val="00CB5B17"/>
    <w:rsid w:val="00CB6AA0"/>
    <w:rsid w:val="00CC4443"/>
    <w:rsid w:val="00CC5CAF"/>
    <w:rsid w:val="00CD78D4"/>
    <w:rsid w:val="00CE103F"/>
    <w:rsid w:val="00CE7E1B"/>
    <w:rsid w:val="00D0314A"/>
    <w:rsid w:val="00D04F25"/>
    <w:rsid w:val="00D06874"/>
    <w:rsid w:val="00D07530"/>
    <w:rsid w:val="00D0771F"/>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1E63"/>
    <w:rsid w:val="00D875ED"/>
    <w:rsid w:val="00D877D0"/>
    <w:rsid w:val="00D90013"/>
    <w:rsid w:val="00D91B9C"/>
    <w:rsid w:val="00D92C1B"/>
    <w:rsid w:val="00D94CC7"/>
    <w:rsid w:val="00D97901"/>
    <w:rsid w:val="00DA1AF4"/>
    <w:rsid w:val="00DB0861"/>
    <w:rsid w:val="00DB0C60"/>
    <w:rsid w:val="00DC311E"/>
    <w:rsid w:val="00DC641A"/>
    <w:rsid w:val="00DD21A1"/>
    <w:rsid w:val="00DD68FB"/>
    <w:rsid w:val="00DD6B7D"/>
    <w:rsid w:val="00DD6E14"/>
    <w:rsid w:val="00DE15AC"/>
    <w:rsid w:val="00DE360F"/>
    <w:rsid w:val="00DF0D3F"/>
    <w:rsid w:val="00DF2015"/>
    <w:rsid w:val="00DF7289"/>
    <w:rsid w:val="00E061EC"/>
    <w:rsid w:val="00E0696B"/>
    <w:rsid w:val="00E06BC3"/>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0048"/>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87529"/>
    <w:rsid w:val="00F925EB"/>
    <w:rsid w:val="00F97033"/>
    <w:rsid w:val="00FA6DD0"/>
    <w:rsid w:val="00FC28DF"/>
    <w:rsid w:val="00FD1780"/>
    <w:rsid w:val="00FD2297"/>
    <w:rsid w:val="00FD3D15"/>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C86CCCF-7E7F-463A-9BC8-8FFD7F1D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PlaceholderText">
    <w:name w:val="Placeholder Text"/>
    <w:basedOn w:val="DefaultParagraphFont"/>
    <w:rsid w:val="00CE103F"/>
    <w:rPr>
      <w:color w:val="808080"/>
    </w:rPr>
  </w:style>
  <w:style w:type="paragraph" w:styleId="NormalWeb">
    <w:name w:val="Normal (Web)"/>
    <w:basedOn w:val="Normal"/>
    <w:uiPriority w:val="99"/>
    <w:unhideWhenUsed/>
    <w:rsid w:val="003F110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f69384239310011b7b91f/Using_Pupil_Premium_-_Guidance_for_School_Leaders.pdf" TargetMode="External"/><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education-evidence/using-pupil-premium" TargetMode="External"/><Relationship Id="rId12" Type="http://schemas.openxmlformats.org/officeDocument/2006/relationships/hyperlink" Target="https://www.suttontrust.com/wp-content/uploads/2019/12/What-makes-great-teaching-FINAL-4.11.14-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arental-engage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eef-guidance-reports/implementation/EEF_Implementation_Guidance_Report_2019.pdf"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hyperlink" Target="https://assets.publishing.service.gov.uk/media/65cf69384239310011b7b91f/Using_Pupil_Premium_-_Guidance_for_School_Leader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hyperlink" Target="https://educationendowmentfoundation.org.uk/education-evidence/teaching-learning-toolkit/oral-language-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15</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Lisa Griffiths</cp:lastModifiedBy>
  <cp:revision>59</cp:revision>
  <cp:lastPrinted>2014-09-18T05:26:00Z</cp:lastPrinted>
  <dcterms:created xsi:type="dcterms:W3CDTF">2024-12-08T08:40:00Z</dcterms:created>
  <dcterms:modified xsi:type="dcterms:W3CDTF">2025-01-04T20:36:00Z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